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10.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tabs>
          <w:tab w:val="left" w:pos="5387"/>
        </w:tabs>
        <w:wordWrap/>
        <w:adjustRightInd w:val="0"/>
        <w:snapToGrid w:val="0"/>
        <w:spacing w:line="560" w:lineRule="exact"/>
        <w:jc w:val="center"/>
        <w:textAlignment w:val="auto"/>
        <w:outlineLvl w:val="9"/>
        <w:rPr>
          <w:rFonts w:hint="eastAsia" w:ascii="仿宋_GB2312" w:hAnsi="仿宋_GB2312" w:eastAsia="仿宋_GB2312" w:cs="仿宋_GB2312"/>
          <w:szCs w:val="32"/>
        </w:rPr>
      </w:pPr>
    </w:p>
    <w:p>
      <w:pPr>
        <w:widowControl/>
        <w:wordWrap/>
        <w:spacing w:line="560" w:lineRule="exact"/>
        <w:jc w:val="center"/>
        <w:textAlignment w:val="auto"/>
        <w:outlineLvl w:val="9"/>
        <w:rPr>
          <w:rFonts w:hint="eastAsia" w:ascii="仿宋_GB2312" w:hAnsi="仿宋_GB2312" w:eastAsia="仿宋_GB2312" w:cs="仿宋_GB2312"/>
          <w:kern w:val="0"/>
          <w:sz w:val="28"/>
          <w:szCs w:val="28"/>
        </w:rPr>
      </w:pPr>
    </w:p>
    <w:p>
      <w:pPr>
        <w:widowControl/>
        <w:wordWrap/>
        <w:spacing w:line="560" w:lineRule="exact"/>
        <w:jc w:val="center"/>
        <w:textAlignment w:val="auto"/>
        <w:outlineLvl w:val="9"/>
        <w:rPr>
          <w:rFonts w:hint="eastAsia" w:ascii="仿宋_GB2312" w:hAnsi="仿宋_GB2312" w:eastAsia="仿宋_GB2312" w:cs="仿宋_GB2312"/>
          <w:kern w:val="0"/>
          <w:sz w:val="28"/>
          <w:szCs w:val="28"/>
        </w:rPr>
      </w:pPr>
    </w:p>
    <w:p>
      <w:pPr>
        <w:widowControl/>
        <w:wordWrap/>
        <w:spacing w:line="560" w:lineRule="exact"/>
        <w:jc w:val="center"/>
        <w:textAlignment w:val="auto"/>
        <w:outlineLvl w:val="9"/>
        <w:rPr>
          <w:rFonts w:hint="eastAsia" w:ascii="仿宋_GB2312" w:hAnsi="仿宋_GB2312" w:eastAsia="仿宋_GB2312" w:cs="仿宋_GB2312"/>
          <w:kern w:val="0"/>
          <w:sz w:val="28"/>
          <w:szCs w:val="28"/>
        </w:rPr>
      </w:pPr>
    </w:p>
    <w:p>
      <w:pPr>
        <w:widowControl/>
        <w:wordWrap/>
        <w:spacing w:line="560" w:lineRule="exact"/>
        <w:jc w:val="center"/>
        <w:textAlignment w:val="auto"/>
        <w:outlineLvl w:val="9"/>
        <w:rPr>
          <w:rFonts w:hint="eastAsia" w:ascii="仿宋_GB2312" w:hAnsi="仿宋_GB2312" w:eastAsia="仿宋_GB2312" w:cs="仿宋_GB2312"/>
          <w:kern w:val="0"/>
          <w:sz w:val="28"/>
          <w:szCs w:val="28"/>
        </w:rPr>
      </w:pPr>
    </w:p>
    <w:p>
      <w:pPr>
        <w:wordWrap/>
        <w:spacing w:line="560" w:lineRule="exact"/>
        <w:jc w:val="center"/>
        <w:textAlignment w:val="auto"/>
        <w:outlineLvl w:val="9"/>
        <w:rPr>
          <w:rFonts w:hint="eastAsia" w:ascii="仿宋_GB2312" w:hAnsi="仿宋_GB2312" w:eastAsia="仿宋_GB2312" w:cs="仿宋_GB2312"/>
          <w:sz w:val="52"/>
          <w:szCs w:val="52"/>
          <w:lang w:eastAsia="zh-CN"/>
        </w:rPr>
      </w:pPr>
      <w:r>
        <w:rPr>
          <w:rFonts w:hint="eastAsia" w:ascii="仿宋_GB2312" w:hAnsi="仿宋_GB2312" w:eastAsia="仿宋_GB2312" w:cs="仿宋_GB2312"/>
          <w:sz w:val="52"/>
          <w:szCs w:val="52"/>
          <w:lang w:eastAsia="zh-CN"/>
        </w:rPr>
        <w:t>郑州市工商业联合会</w:t>
      </w:r>
    </w:p>
    <w:p>
      <w:pPr>
        <w:wordWrap/>
        <w:spacing w:line="560" w:lineRule="exact"/>
        <w:jc w:val="center"/>
        <w:textAlignment w:val="auto"/>
        <w:outlineLvl w:val="9"/>
        <w:rPr>
          <w:rFonts w:hint="eastAsia" w:ascii="仿宋_GB2312" w:hAnsi="仿宋_GB2312" w:eastAsia="仿宋_GB2312" w:cs="仿宋_GB2312"/>
          <w:sz w:val="52"/>
          <w:szCs w:val="52"/>
        </w:rPr>
      </w:pPr>
      <w:r>
        <w:rPr>
          <w:rFonts w:hint="eastAsia" w:ascii="仿宋_GB2312" w:hAnsi="仿宋_GB2312" w:eastAsia="仿宋_GB2312" w:cs="仿宋_GB2312"/>
          <w:sz w:val="52"/>
          <w:szCs w:val="52"/>
        </w:rPr>
        <w:t>2017年度部门决算</w:t>
      </w: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52"/>
          <w:szCs w:val="52"/>
        </w:rPr>
      </w:pPr>
    </w:p>
    <w:p>
      <w:pPr>
        <w:wordWrap/>
        <w:spacing w:line="560" w:lineRule="exact"/>
        <w:jc w:val="center"/>
        <w:textAlignment w:val="auto"/>
        <w:outlineLvl w:val="9"/>
        <w:rPr>
          <w:rFonts w:hint="eastAsia" w:ascii="仿宋_GB2312" w:hAnsi="仿宋_GB2312" w:eastAsia="仿宋_GB2312" w:cs="仿宋_GB2312"/>
          <w:sz w:val="32"/>
          <w:szCs w:val="32"/>
        </w:rPr>
        <w:sectPr>
          <w:footerReference r:id="rId4" w:type="default"/>
          <w:type w:val="continuous"/>
          <w:pgSz w:w="11906" w:h="16838"/>
          <w:pgMar w:top="2211" w:right="1418" w:bottom="1871" w:left="1531" w:header="850" w:footer="992" w:gutter="0"/>
          <w:cols w:space="720" w:num="1"/>
          <w:docGrid w:type="lines" w:linePitch="317"/>
        </w:sectPr>
      </w:pPr>
      <w:r>
        <w:rPr>
          <w:rFonts w:hint="eastAsia" w:ascii="仿宋_GB2312" w:hAnsi="仿宋_GB2312" w:eastAsia="仿宋_GB2312" w:cs="仿宋_GB2312"/>
          <w:sz w:val="32"/>
          <w:szCs w:val="32"/>
        </w:rPr>
        <w:t>二〇一八年十一月</w:t>
      </w:r>
    </w:p>
    <w:p>
      <w:pPr>
        <w:wordWrap/>
        <w:spacing w:line="560" w:lineRule="exact"/>
        <w:jc w:val="center"/>
        <w:textAlignment w:val="auto"/>
        <w:outlineLvl w:val="9"/>
        <w:rPr>
          <w:rFonts w:hint="eastAsia" w:ascii="仿宋_GB2312" w:hAnsi="仿宋_GB2312" w:eastAsia="仿宋_GB2312" w:cs="仿宋_GB2312"/>
          <w:sz w:val="36"/>
          <w:szCs w:val="36"/>
        </w:rPr>
      </w:pPr>
    </w:p>
    <w:p>
      <w:pPr>
        <w:wordWrap/>
        <w:spacing w:line="560" w:lineRule="exact"/>
        <w:jc w:val="center"/>
        <w:textAlignment w:val="auto"/>
        <w:outlineLvl w:val="9"/>
        <w:rPr>
          <w:rFonts w:hint="eastAsia" w:ascii="仿宋_GB2312" w:hAnsi="仿宋_GB2312" w:eastAsia="仿宋_GB2312" w:cs="仿宋_GB2312"/>
          <w:sz w:val="36"/>
          <w:szCs w:val="36"/>
        </w:rPr>
      </w:pPr>
    </w:p>
    <w:p>
      <w:pPr>
        <w:widowControl w:val="0"/>
        <w:wordWrap/>
        <w:adjustRightInd/>
        <w:snapToGrid/>
        <w:spacing w:line="440" w:lineRule="exact"/>
        <w:jc w:val="center"/>
        <w:textAlignment w:val="auto"/>
        <w:outlineLvl w:val="9"/>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目　　录</w:t>
      </w:r>
    </w:p>
    <w:p>
      <w:pPr>
        <w:widowControl w:val="0"/>
        <w:wordWrap/>
        <w:adjustRightInd/>
        <w:snapToGrid/>
        <w:spacing w:line="440" w:lineRule="exact"/>
        <w:jc w:val="left"/>
        <w:textAlignment w:val="auto"/>
        <w:outlineLvl w:val="9"/>
        <w:rPr>
          <w:rFonts w:hint="eastAsia" w:ascii="仿宋_GB2312" w:hAnsi="仿宋_GB2312" w:eastAsia="仿宋_GB2312" w:cs="仿宋_GB2312"/>
          <w:sz w:val="32"/>
          <w:szCs w:val="32"/>
        </w:rPr>
      </w:pPr>
    </w:p>
    <w:p>
      <w:pPr>
        <w:widowControl w:val="0"/>
        <w:wordWrap/>
        <w:adjustRightInd/>
        <w:snapToGrid/>
        <w:spacing w:line="440" w:lineRule="exact"/>
        <w:ind w:firstLine="420" w:firstLineChars="15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第一部分　　部门概况</w:t>
      </w:r>
    </w:p>
    <w:p>
      <w:pPr>
        <w:widowControl w:val="0"/>
        <w:numPr>
          <w:ilvl w:val="0"/>
          <w:numId w:val="1"/>
        </w:numPr>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部门主要职责</w:t>
      </w:r>
    </w:p>
    <w:p>
      <w:pPr>
        <w:widowControl w:val="0"/>
        <w:numPr>
          <w:ilvl w:val="0"/>
          <w:numId w:val="1"/>
        </w:numPr>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机构基本情况</w:t>
      </w:r>
    </w:p>
    <w:p>
      <w:pPr>
        <w:widowControl w:val="0"/>
        <w:wordWrap/>
        <w:adjustRightInd/>
        <w:snapToGrid/>
        <w:spacing w:line="440" w:lineRule="exact"/>
        <w:ind w:firstLine="420" w:firstLineChars="15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第二部分　　2017年度部门决算表</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六、一般公共预算财政拨款基本支出决算表</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七、一般公共预算财政拨款“三公”经费支出决算表</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八、政府性基金预算财政拨款收入支出决算表</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第三部分　　2017年度部门决算情况说明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二、关于收入决算情况说明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四、财政拨款收入支出决算总体情况说明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七、一般公共预算财政拨款“三公”经费支出决算情况说明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八、预算绩效情况说明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九、政府性基金预算财政拨款支出决算情况说明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十、机关运行经费支出情况说明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十一、政府采购支出情况说明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十二、国有资产占用情况说明</w:t>
      </w:r>
    </w:p>
    <w:p>
      <w:pPr>
        <w:widowControl w:val="0"/>
        <w:wordWrap/>
        <w:adjustRightInd/>
        <w:snapToGrid/>
        <w:spacing w:line="440" w:lineRule="exact"/>
        <w:ind w:firstLine="560" w:firstLineChars="200"/>
        <w:jc w:val="left"/>
        <w:textAlignment w:val="auto"/>
        <w:outlineLvl w:val="9"/>
        <w:rPr>
          <w:rFonts w:hint="eastAsia" w:ascii="仿宋_GB2312" w:hAnsi="仿宋_GB2312" w:eastAsia="仿宋_GB2312" w:cs="仿宋_GB2312"/>
          <w:kern w:val="0"/>
          <w:sz w:val="24"/>
          <w:szCs w:val="24"/>
        </w:rPr>
        <w:sectPr>
          <w:footerReference r:id="rId5" w:type="default"/>
          <w:type w:val="continuous"/>
          <w:pgSz w:w="11906" w:h="16838"/>
          <w:pgMar w:top="2211" w:right="1418" w:bottom="1871" w:left="1531" w:header="720" w:footer="720" w:gutter="0"/>
          <w:cols w:space="720" w:num="1"/>
          <w:docGrid w:type="lines" w:linePitch="312"/>
        </w:sectPr>
      </w:pPr>
      <w:r>
        <w:rPr>
          <w:rFonts w:hint="eastAsia" w:ascii="仿宋_GB2312" w:hAnsi="仿宋_GB2312" w:eastAsia="仿宋_GB2312" w:cs="仿宋_GB2312"/>
          <w:sz w:val="28"/>
          <w:szCs w:val="28"/>
        </w:rPr>
        <w:t>第四部分　　名词解释</w:t>
      </w:r>
    </w:p>
    <w:p>
      <w:pPr>
        <w:widowControl/>
        <w:wordWrap/>
        <w:adjustRightInd/>
        <w:snapToGrid/>
        <w:spacing w:line="400" w:lineRule="exact"/>
        <w:jc w:val="center"/>
        <w:textAlignment w:val="auto"/>
        <w:outlineLvl w:val="9"/>
        <w:rPr>
          <w:rFonts w:hint="eastAsia" w:ascii="仿宋_GB2312" w:hAnsi="仿宋_GB2312" w:eastAsia="仿宋_GB2312" w:cs="仿宋_GB2312"/>
          <w:kern w:val="0"/>
          <w:sz w:val="28"/>
          <w:szCs w:val="28"/>
        </w:rPr>
      </w:pPr>
    </w:p>
    <w:p>
      <w:pPr>
        <w:widowControl/>
        <w:wordWrap/>
        <w:adjustRightInd/>
        <w:snapToGrid/>
        <w:spacing w:line="400" w:lineRule="exact"/>
        <w:jc w:val="center"/>
        <w:textAlignment w:val="auto"/>
        <w:outlineLvl w:val="9"/>
        <w:rPr>
          <w:rFonts w:hint="eastAsia" w:ascii="仿宋_GB2312" w:hAnsi="仿宋_GB2312" w:eastAsia="仿宋_GB2312" w:cs="仿宋_GB2312"/>
          <w:kern w:val="0"/>
          <w:sz w:val="28"/>
          <w:szCs w:val="28"/>
        </w:rPr>
      </w:pPr>
    </w:p>
    <w:p>
      <w:pPr>
        <w:widowControl/>
        <w:wordWrap/>
        <w:spacing w:line="560" w:lineRule="exact"/>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sz w:val="48"/>
          <w:szCs w:val="48"/>
        </w:rPr>
        <w:t>第一部分　　部门概况</w:t>
      </w:r>
    </w:p>
    <w:p>
      <w:pPr>
        <w:widowControl/>
        <w:wordWrap/>
        <w:spacing w:line="560" w:lineRule="exact"/>
        <w:jc w:val="center"/>
        <w:textAlignment w:val="auto"/>
        <w:outlineLvl w:val="9"/>
        <w:rPr>
          <w:rFonts w:hint="eastAsia" w:ascii="仿宋_GB2312" w:hAnsi="仿宋_GB2312" w:eastAsia="仿宋_GB2312" w:cs="仿宋_GB2312"/>
          <w:kern w:val="0"/>
          <w:sz w:val="28"/>
          <w:szCs w:val="28"/>
        </w:rPr>
      </w:pPr>
    </w:p>
    <w:p>
      <w:pPr>
        <w:widowControl/>
        <w:wordWrap/>
        <w:spacing w:line="560" w:lineRule="exact"/>
        <w:jc w:val="center"/>
        <w:textAlignment w:val="auto"/>
        <w:outlineLvl w:val="9"/>
        <w:rPr>
          <w:rFonts w:hint="eastAsia" w:ascii="仿宋_GB2312" w:hAnsi="仿宋_GB2312" w:eastAsia="仿宋_GB2312" w:cs="仿宋_GB2312"/>
          <w:kern w:val="0"/>
          <w:sz w:val="28"/>
          <w:szCs w:val="28"/>
        </w:rPr>
        <w:sectPr>
          <w:footerReference r:id="rId6" w:type="default"/>
          <w:type w:val="continuous"/>
          <w:pgSz w:w="11906" w:h="16838"/>
          <w:pgMar w:top="2211" w:right="1418" w:bottom="1871" w:left="1531" w:header="720" w:footer="720" w:gutter="0"/>
          <w:cols w:space="720" w:num="1"/>
          <w:docGrid w:type="lines" w:linePitch="312"/>
        </w:sectPr>
      </w:pPr>
    </w:p>
    <w:p>
      <w:pPr>
        <w:widowControl/>
        <w:wordWrap/>
        <w:spacing w:line="560" w:lineRule="exact"/>
        <w:ind w:firstLine="640" w:firstLineChars="200"/>
        <w:jc w:val="left"/>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一、部门主要职责</w:t>
      </w:r>
    </w:p>
    <w:p>
      <w:pPr>
        <w:wordWrap/>
        <w:spacing w:line="560" w:lineRule="exact"/>
        <w:ind w:firstLine="640" w:firstLineChars="200"/>
        <w:jc w:val="left"/>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郑州市工商联</w:t>
      </w:r>
      <w:r>
        <w:rPr>
          <w:rFonts w:hint="eastAsia" w:ascii="仿宋_GB2312" w:hAnsi="仿宋_GB2312" w:eastAsia="仿宋_GB2312" w:cs="仿宋_GB2312"/>
          <w:sz w:val="32"/>
          <w:szCs w:val="32"/>
          <w:lang w:eastAsia="zh-CN"/>
        </w:rPr>
        <w:t>是党委和政府联系非公有制企业的桥梁纽带，引导非公有制经济人士践行社会主义核心价值体系，参与政治协商，积极参政议政。协助政府管理和服务非公有制经济。</w:t>
      </w:r>
    </w:p>
    <w:p>
      <w:pPr>
        <w:widowControl/>
        <w:wordWrap/>
        <w:spacing w:line="560" w:lineRule="exact"/>
        <w:ind w:firstLine="640" w:firstLineChars="200"/>
        <w:jc w:val="left"/>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二、机构基本情况</w:t>
      </w:r>
    </w:p>
    <w:p>
      <w:pPr>
        <w:wordWrap/>
        <w:spacing w:line="560" w:lineRule="exact"/>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郑州市工商业联合会</w:t>
      </w:r>
      <w:r>
        <w:rPr>
          <w:rFonts w:hint="eastAsia" w:ascii="仿宋_GB2312" w:hAnsi="仿宋_GB2312" w:eastAsia="仿宋_GB2312" w:cs="仿宋_GB2312"/>
          <w:kern w:val="0"/>
          <w:sz w:val="32"/>
          <w:szCs w:val="32"/>
          <w:lang w:val="en-US" w:eastAsia="zh-CN"/>
        </w:rPr>
        <w:t>是</w:t>
      </w:r>
      <w:r>
        <w:rPr>
          <w:rFonts w:hint="eastAsia" w:ascii="仿宋_GB2312" w:hAnsi="仿宋_GB2312" w:eastAsia="仿宋_GB2312" w:cs="仿宋_GB2312"/>
          <w:kern w:val="0"/>
          <w:sz w:val="32"/>
          <w:szCs w:val="32"/>
          <w:lang w:eastAsia="zh-CN"/>
        </w:rPr>
        <w:t>社会团体机关，独立核算单位</w:t>
      </w:r>
      <w:r>
        <w:rPr>
          <w:rFonts w:hint="eastAsia" w:ascii="仿宋_GB2312" w:hAnsi="仿宋_GB2312" w:eastAsia="仿宋_GB2312" w:cs="仿宋_GB2312"/>
          <w:kern w:val="0"/>
          <w:sz w:val="32"/>
          <w:szCs w:val="32"/>
          <w:lang w:val="en-US" w:eastAsia="zh-CN"/>
        </w:rPr>
        <w:t>1个</w:t>
      </w:r>
      <w:r>
        <w:rPr>
          <w:rFonts w:hint="eastAsia" w:ascii="仿宋_GB2312" w:hAnsi="仿宋_GB2312" w:eastAsia="仿宋_GB2312" w:cs="仿宋_GB2312"/>
          <w:kern w:val="0"/>
          <w:sz w:val="32"/>
          <w:szCs w:val="32"/>
          <w:lang w:eastAsia="zh-CN"/>
        </w:rPr>
        <w:t>无</w:t>
      </w:r>
      <w:r>
        <w:rPr>
          <w:rFonts w:hint="eastAsia" w:ascii="仿宋_GB2312" w:hAnsi="仿宋_GB2312" w:eastAsia="仿宋_GB2312" w:cs="仿宋_GB2312"/>
          <w:kern w:val="0"/>
          <w:sz w:val="32"/>
          <w:szCs w:val="32"/>
        </w:rPr>
        <w:t>二级预算单位。</w:t>
      </w:r>
      <w:r>
        <w:rPr>
          <w:rFonts w:hint="eastAsia" w:ascii="仿宋_GB2312" w:hAnsi="仿宋_GB2312" w:eastAsia="仿宋_GB2312" w:cs="仿宋_GB2312"/>
          <w:kern w:val="0"/>
          <w:sz w:val="32"/>
          <w:szCs w:val="32"/>
          <w:lang w:eastAsia="zh-CN"/>
        </w:rPr>
        <w:t>执行行政单位会计制度。</w:t>
      </w:r>
    </w:p>
    <w:p>
      <w:pPr>
        <w:wordWrap/>
        <w:spacing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内设机构：办公室、</w:t>
      </w:r>
      <w:r>
        <w:rPr>
          <w:rFonts w:hint="eastAsia" w:ascii="仿宋_GB2312" w:hAnsi="仿宋_GB2312" w:eastAsia="仿宋_GB2312" w:cs="仿宋_GB2312"/>
          <w:sz w:val="32"/>
          <w:szCs w:val="32"/>
          <w:lang w:eastAsia="zh-CN"/>
        </w:rPr>
        <w:t>经济联络处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组织宣传处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参政调研处</w:t>
      </w:r>
      <w:r>
        <w:rPr>
          <w:rFonts w:hint="eastAsia" w:ascii="仿宋_GB2312" w:hAnsi="仿宋_GB2312" w:eastAsia="仿宋_GB2312" w:cs="仿宋_GB2312"/>
          <w:sz w:val="32"/>
          <w:szCs w:val="32"/>
        </w:rPr>
        <w:t>。</w:t>
      </w:r>
    </w:p>
    <w:p>
      <w:pPr>
        <w:wordWrap/>
        <w:spacing w:line="56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机关单位人员共有编制</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人，其中：行政编制</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人，在职职工</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人，离退休人员</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人。</w:t>
      </w:r>
    </w:p>
    <w:p>
      <w:pPr>
        <w:widowControl/>
        <w:numPr>
          <w:numId w:val="0"/>
        </w:numPr>
        <w:wordWrap/>
        <w:spacing w:line="560" w:lineRule="exact"/>
        <w:jc w:val="center"/>
        <w:textAlignment w:val="auto"/>
        <w:outlineLvl w:val="9"/>
        <w:rPr>
          <w:rFonts w:hint="eastAsia" w:ascii="仿宋_GB2312" w:hAnsi="仿宋_GB2312" w:eastAsia="仿宋_GB2312" w:cs="仿宋_GB2312"/>
          <w:kern w:val="0"/>
          <w:sz w:val="32"/>
          <w:szCs w:val="32"/>
        </w:rPr>
      </w:pPr>
    </w:p>
    <w:p>
      <w:pPr>
        <w:widowControl/>
        <w:wordWrap/>
        <w:spacing w:line="560" w:lineRule="exact"/>
        <w:jc w:val="center"/>
        <w:textAlignment w:val="auto"/>
        <w:outlineLvl w:val="9"/>
        <w:rPr>
          <w:rFonts w:hint="eastAsia" w:ascii="仿宋_GB2312" w:hAnsi="仿宋_GB2312" w:eastAsia="仿宋_GB2312" w:cs="仿宋_GB2312"/>
          <w:kern w:val="0"/>
          <w:sz w:val="32"/>
          <w:szCs w:val="32"/>
        </w:rPr>
      </w:pPr>
    </w:p>
    <w:p>
      <w:pPr>
        <w:widowControl/>
        <w:wordWrap/>
        <w:spacing w:line="560" w:lineRule="exact"/>
        <w:jc w:val="center"/>
        <w:textAlignment w:val="auto"/>
        <w:outlineLvl w:val="9"/>
        <w:rPr>
          <w:rFonts w:hint="eastAsia" w:ascii="仿宋_GB2312" w:hAnsi="仿宋_GB2312" w:eastAsia="仿宋_GB2312" w:cs="仿宋_GB2312"/>
          <w:kern w:val="0"/>
          <w:sz w:val="28"/>
          <w:szCs w:val="28"/>
        </w:rPr>
      </w:pPr>
    </w:p>
    <w:p>
      <w:pPr>
        <w:widowControl/>
        <w:wordWrap/>
        <w:spacing w:line="560" w:lineRule="exact"/>
        <w:jc w:val="center"/>
        <w:textAlignment w:val="auto"/>
        <w:outlineLvl w:val="9"/>
        <w:rPr>
          <w:rFonts w:hint="eastAsia" w:ascii="仿宋_GB2312" w:hAnsi="仿宋_GB2312" w:eastAsia="仿宋_GB2312" w:cs="仿宋_GB2312"/>
          <w:kern w:val="0"/>
          <w:sz w:val="28"/>
          <w:szCs w:val="28"/>
        </w:rPr>
        <w:sectPr>
          <w:footerReference r:id="rId7" w:type="default"/>
          <w:type w:val="continuous"/>
          <w:pgSz w:w="11906" w:h="16838"/>
          <w:pgMar w:top="2211" w:right="1418" w:bottom="1871" w:left="1531" w:header="720" w:footer="720" w:gutter="0"/>
          <w:cols w:space="720" w:num="1"/>
          <w:docGrid w:type="lines" w:linePitch="312"/>
        </w:sectPr>
      </w:pPr>
    </w:p>
    <w:p>
      <w:pPr>
        <w:wordWrap/>
        <w:spacing w:line="560" w:lineRule="exact"/>
        <w:jc w:val="center"/>
        <w:textAlignment w:val="auto"/>
        <w:outlineLvl w:val="9"/>
        <w:rPr>
          <w:rFonts w:hint="eastAsia" w:ascii="仿宋_GB2312" w:hAnsi="仿宋_GB2312" w:eastAsia="仿宋_GB2312" w:cs="仿宋_GB2312"/>
          <w:sz w:val="32"/>
          <w:szCs w:val="32"/>
        </w:rPr>
      </w:pPr>
    </w:p>
    <w:p>
      <w:pPr>
        <w:wordWrap/>
        <w:spacing w:line="560" w:lineRule="exact"/>
        <w:jc w:val="center"/>
        <w:textAlignment w:val="auto"/>
        <w:outlineLvl w:val="9"/>
        <w:rPr>
          <w:rFonts w:hint="eastAsia" w:ascii="仿宋_GB2312" w:hAnsi="仿宋_GB2312" w:eastAsia="仿宋_GB2312" w:cs="仿宋_GB2312"/>
          <w:sz w:val="32"/>
          <w:szCs w:val="32"/>
        </w:rPr>
      </w:pPr>
    </w:p>
    <w:p>
      <w:pPr>
        <w:wordWrap/>
        <w:spacing w:line="560" w:lineRule="exact"/>
        <w:jc w:val="center"/>
        <w:textAlignment w:val="auto"/>
        <w:outlineLvl w:val="9"/>
        <w:rPr>
          <w:rFonts w:hint="eastAsia" w:ascii="仿宋_GB2312" w:hAnsi="仿宋_GB2312" w:eastAsia="仿宋_GB2312" w:cs="仿宋_GB2312"/>
          <w:sz w:val="32"/>
          <w:szCs w:val="32"/>
        </w:rPr>
      </w:pPr>
    </w:p>
    <w:p>
      <w:pPr>
        <w:wordWrap/>
        <w:spacing w:line="560" w:lineRule="exact"/>
        <w:jc w:val="center"/>
        <w:textAlignment w:val="auto"/>
        <w:outlineLvl w:val="9"/>
        <w:rPr>
          <w:rFonts w:hint="eastAsia" w:ascii="仿宋_GB2312" w:hAnsi="仿宋_GB2312" w:eastAsia="仿宋_GB2312" w:cs="仿宋_GB2312"/>
          <w:sz w:val="32"/>
          <w:szCs w:val="32"/>
        </w:rPr>
      </w:pPr>
    </w:p>
    <w:p>
      <w:pPr>
        <w:wordWrap/>
        <w:spacing w:line="560" w:lineRule="exact"/>
        <w:jc w:val="center"/>
        <w:textAlignment w:val="auto"/>
        <w:outlineLvl w:val="9"/>
        <w:rPr>
          <w:rFonts w:hint="eastAsia" w:ascii="仿宋_GB2312" w:hAnsi="仿宋_GB2312" w:eastAsia="仿宋_GB2312" w:cs="仿宋_GB2312"/>
          <w:sz w:val="32"/>
          <w:szCs w:val="32"/>
        </w:rPr>
      </w:pPr>
    </w:p>
    <w:p>
      <w:pPr>
        <w:wordWrap/>
        <w:spacing w:line="560" w:lineRule="exact"/>
        <w:jc w:val="center"/>
        <w:textAlignment w:val="auto"/>
        <w:outlineLvl w:val="9"/>
        <w:rPr>
          <w:rFonts w:hint="eastAsia" w:ascii="仿宋_GB2312" w:hAnsi="仿宋_GB2312" w:eastAsia="仿宋_GB2312" w:cs="仿宋_GB2312"/>
          <w:sz w:val="32"/>
          <w:szCs w:val="32"/>
        </w:rPr>
      </w:pPr>
    </w:p>
    <w:p>
      <w:pPr>
        <w:spacing w:line="567" w:lineRule="exact"/>
        <w:jc w:val="center"/>
        <w:rPr>
          <w:rFonts w:hint="eastAsia" w:ascii="仿宋_GB2312" w:hAnsi="仿宋_GB2312" w:eastAsia="仿宋_GB2312" w:cs="仿宋_GB2312"/>
          <w:sz w:val="48"/>
          <w:szCs w:val="48"/>
        </w:rPr>
      </w:pPr>
    </w:p>
    <w:p>
      <w:pPr>
        <w:spacing w:line="567" w:lineRule="exact"/>
        <w:jc w:val="center"/>
        <w:rPr>
          <w:rFonts w:hint="eastAsia" w:ascii="仿宋_GB2312" w:hAnsi="仿宋_GB2312" w:eastAsia="仿宋_GB2312" w:cs="仿宋_GB2312"/>
          <w:sz w:val="48"/>
          <w:szCs w:val="48"/>
        </w:rPr>
      </w:pPr>
      <w:r>
        <w:rPr>
          <w:rFonts w:hint="eastAsia" w:ascii="仿宋_GB2312" w:hAnsi="仿宋_GB2312" w:eastAsia="仿宋_GB2312" w:cs="仿宋_GB2312"/>
          <w:sz w:val="48"/>
          <w:szCs w:val="48"/>
        </w:rPr>
        <w:t>第二部分</w:t>
      </w:r>
    </w:p>
    <w:p>
      <w:pPr>
        <w:spacing w:line="567" w:lineRule="exact"/>
        <w:jc w:val="center"/>
        <w:rPr>
          <w:rFonts w:hint="eastAsia" w:ascii="仿宋_GB2312" w:hAnsi="仿宋_GB2312" w:eastAsia="仿宋_GB2312" w:cs="仿宋_GB2312"/>
          <w:sz w:val="48"/>
          <w:szCs w:val="48"/>
        </w:rPr>
      </w:pPr>
    </w:p>
    <w:p>
      <w:pPr>
        <w:spacing w:line="567" w:lineRule="exact"/>
        <w:jc w:val="center"/>
        <w:rPr>
          <w:rFonts w:hint="eastAsia" w:ascii="仿宋_GB2312" w:hAnsi="仿宋_GB2312" w:eastAsia="仿宋_GB2312" w:cs="仿宋_GB2312"/>
          <w:sz w:val="48"/>
          <w:szCs w:val="48"/>
        </w:rPr>
      </w:pPr>
    </w:p>
    <w:p>
      <w:pPr>
        <w:spacing w:line="567" w:lineRule="exact"/>
        <w:jc w:val="center"/>
        <w:rPr>
          <w:rFonts w:hint="eastAsia" w:ascii="仿宋_GB2312" w:hAnsi="仿宋_GB2312" w:eastAsia="仿宋_GB2312" w:cs="仿宋_GB2312"/>
          <w:sz w:val="48"/>
          <w:szCs w:val="48"/>
        </w:rPr>
      </w:pPr>
      <w:r>
        <w:rPr>
          <w:rFonts w:hint="eastAsia" w:ascii="仿宋_GB2312" w:hAnsi="仿宋_GB2312" w:eastAsia="仿宋_GB2312" w:cs="仿宋_GB2312"/>
          <w:sz w:val="48"/>
          <w:szCs w:val="48"/>
        </w:rPr>
        <w:t>2017年度部门决算表</w:t>
      </w:r>
    </w:p>
    <w:p>
      <w:pPr>
        <w:widowControl/>
        <w:spacing w:line="567" w:lineRule="exact"/>
        <w:jc w:val="both"/>
        <w:rPr>
          <w:rFonts w:hint="eastAsia" w:ascii="仿宋_GB2312" w:hAnsi="仿宋_GB2312" w:eastAsia="仿宋_GB2312" w:cs="仿宋_GB2312"/>
          <w:kern w:val="0"/>
          <w:sz w:val="28"/>
          <w:szCs w:val="28"/>
        </w:rPr>
      </w:pPr>
    </w:p>
    <w:p>
      <w:pPr>
        <w:spacing w:line="567" w:lineRule="exact"/>
        <w:jc w:val="center"/>
        <w:rPr>
          <w:rFonts w:hint="eastAsia" w:ascii="仿宋_GB2312" w:hAnsi="仿宋_GB2312" w:eastAsia="仿宋_GB2312" w:cs="仿宋_GB2312"/>
          <w:sz w:val="32"/>
          <w:szCs w:val="32"/>
        </w:rPr>
        <w:sectPr>
          <w:footerReference r:id="rId8" w:type="default"/>
          <w:type w:val="continuous"/>
          <w:pgSz w:w="11906" w:h="16838"/>
          <w:pgMar w:top="2211" w:right="1418" w:bottom="1871" w:left="1531" w:header="720" w:footer="720" w:gutter="0"/>
          <w:cols w:space="720" w:num="1"/>
          <w:docGrid w:type="lines" w:linePitch="312"/>
        </w:sectPr>
      </w:pPr>
    </w:p>
    <w:tbl>
      <w:tblPr>
        <w:tblW w:w="9357" w:type="dxa"/>
        <w:tblInd w:w="-41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66"/>
        <w:gridCol w:w="645"/>
        <w:gridCol w:w="642"/>
        <w:gridCol w:w="472"/>
        <w:gridCol w:w="845"/>
        <w:gridCol w:w="2796"/>
        <w:gridCol w:w="495"/>
        <w:gridCol w:w="324"/>
        <w:gridCol w:w="527"/>
        <w:gridCol w:w="1245"/>
      </w:tblGrid>
      <w:tr>
        <w:trPr>
          <w:trHeight w:val="375" w:hRule="atLeast"/>
        </w:trPr>
        <w:tc>
          <w:tcPr>
            <w:tcW w:w="9357" w:type="dxa"/>
            <w:gridSpan w:val="10"/>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收入支出决算总表</w:t>
            </w:r>
          </w:p>
        </w:tc>
      </w:tr>
      <w:tr>
        <w:trPr>
          <w:trHeight w:val="372" w:hRule="atLeast"/>
        </w:trPr>
        <w:tc>
          <w:tcPr>
            <w:tcW w:w="2653" w:type="dxa"/>
            <w:gridSpan w:val="3"/>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w:t>
            </w:r>
          </w:p>
        </w:tc>
        <w:tc>
          <w:tcPr>
            <w:tcW w:w="472" w:type="dxa"/>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845" w:type="dxa"/>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3615" w:type="dxa"/>
            <w:gridSpan w:val="3"/>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527" w:type="dxa"/>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245" w:type="dxa"/>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公开01表</w:t>
            </w:r>
          </w:p>
        </w:tc>
      </w:tr>
      <w:tr>
        <w:trPr>
          <w:trHeight w:val="90" w:hRule="atLeast"/>
        </w:trPr>
        <w:tc>
          <w:tcPr>
            <w:tcW w:w="2653" w:type="dxa"/>
            <w:gridSpan w:val="3"/>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部门：</w:t>
            </w:r>
          </w:p>
        </w:tc>
        <w:tc>
          <w:tcPr>
            <w:tcW w:w="1317"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郑州市工商联</w:t>
            </w:r>
          </w:p>
        </w:tc>
        <w:tc>
          <w:tcPr>
            <w:tcW w:w="3615" w:type="dxa"/>
            <w:gridSpan w:val="3"/>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527" w:type="dxa"/>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245" w:type="dxa"/>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金额单位：万元</w:t>
            </w:r>
          </w:p>
        </w:tc>
      </w:tr>
      <w:tr>
        <w:trPr>
          <w:trHeight w:val="300" w:hRule="atLeast"/>
        </w:trPr>
        <w:tc>
          <w:tcPr>
            <w:tcW w:w="3970" w:type="dxa"/>
            <w:gridSpan w:val="5"/>
            <w:tcBorders>
              <w:top w:val="single" w:color="000000" w:sz="12"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收　　入</w:t>
            </w:r>
          </w:p>
        </w:tc>
        <w:tc>
          <w:tcPr>
            <w:tcW w:w="5387" w:type="dxa"/>
            <w:gridSpan w:val="5"/>
            <w:tcBorders>
              <w:top w:val="single" w:color="000000" w:sz="12"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支　　出</w:t>
            </w: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项　　目</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行次</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金额</w:t>
            </w: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项　　目</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行次</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金额</w:t>
            </w: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栏　　次</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color w:val="000000"/>
                <w:sz w:val="16"/>
                <w:szCs w:val="16"/>
              </w:rPr>
            </w:pP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1</w:t>
            </w: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栏　　次</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color w:val="000000"/>
                <w:sz w:val="16"/>
                <w:szCs w:val="16"/>
              </w:rPr>
            </w:pP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2</w:t>
            </w: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一、财政拨款收入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512.99</w:t>
            </w: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一、一般公共服务支出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434.23</w:t>
            </w: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二、上级补助收入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二、外交支出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三、事业收入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三、国防支出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32</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四、经营收入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四、公共安全支出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33</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五、附属单位上缴收入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五、教育支出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34</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六、其他收入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6</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六、科学技术支出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35</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7</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七、文化体育与传媒支出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36</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8</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八、社会保障和就业支出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37</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47.28</w:t>
            </w: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9</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九、医疗卫生与计划生育支出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38</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10.48</w:t>
            </w: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10</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十、节能环保支出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39</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11</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十一、城乡社区支出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40</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12</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十二、农林水支出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41</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13</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十三、交通运输支出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42</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14</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十四、资源勘探信息等支出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43</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15</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十五、商业服务业等支出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44</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16</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十六、金融支出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45</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17</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十七、援助其他地区支出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46</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18</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十八、国土海洋气象等支出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47</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19</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十九、住房保障支出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48</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21.01</w:t>
            </w: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20</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二十、粮油物资储备支出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49</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21</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二十一、其他支出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50</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22</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二十二、债务还本支出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51</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23</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二十三、债务付息支出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52</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24</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53</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本年收入合计</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25</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512.99</w:t>
            </w: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本年支出合计</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54</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512.99</w:t>
            </w: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用事业基金弥补收支差额</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26</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结余分配</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55</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年初结转和结余</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27</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年末结转和结余</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56</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28</w:t>
            </w:r>
          </w:p>
        </w:tc>
        <w:tc>
          <w:tcPr>
            <w:tcW w:w="1959"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796"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57</w:t>
            </w:r>
          </w:p>
        </w:tc>
        <w:tc>
          <w:tcPr>
            <w:tcW w:w="2096" w:type="dxa"/>
            <w:gridSpan w:val="3"/>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r>
      <w:tr>
        <w:trPr>
          <w:trHeight w:val="300" w:hRule="atLeast"/>
        </w:trPr>
        <w:tc>
          <w:tcPr>
            <w:tcW w:w="1366" w:type="dxa"/>
            <w:tcBorders>
              <w:top w:val="single" w:color="000000" w:sz="4" w:space="0"/>
              <w:left w:val="single" w:color="000000" w:sz="12" w:space="0"/>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总计</w:t>
            </w:r>
          </w:p>
        </w:tc>
        <w:tc>
          <w:tcPr>
            <w:tcW w:w="645" w:type="dxa"/>
            <w:tcBorders>
              <w:top w:val="single" w:color="000000" w:sz="4" w:space="0"/>
              <w:left w:val="single" w:color="000000" w:sz="4" w:space="0"/>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29</w:t>
            </w:r>
          </w:p>
        </w:tc>
        <w:tc>
          <w:tcPr>
            <w:tcW w:w="1959" w:type="dxa"/>
            <w:gridSpan w:val="3"/>
            <w:tcBorders>
              <w:top w:val="single" w:color="000000" w:sz="4" w:space="0"/>
              <w:left w:val="single" w:color="000000" w:sz="4" w:space="0"/>
              <w:bottom w:val="single" w:color="000000" w:sz="12"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512.99</w:t>
            </w:r>
          </w:p>
        </w:tc>
        <w:tc>
          <w:tcPr>
            <w:tcW w:w="2796" w:type="dxa"/>
            <w:tcBorders>
              <w:top w:val="single" w:color="000000" w:sz="4" w:space="0"/>
              <w:left w:val="single" w:color="000000" w:sz="4" w:space="0"/>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总计</w:t>
            </w:r>
          </w:p>
        </w:tc>
        <w:tc>
          <w:tcPr>
            <w:tcW w:w="495" w:type="dxa"/>
            <w:tcBorders>
              <w:top w:val="single" w:color="000000" w:sz="4" w:space="0"/>
              <w:left w:val="single" w:color="000000" w:sz="4" w:space="0"/>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58</w:t>
            </w:r>
          </w:p>
        </w:tc>
        <w:tc>
          <w:tcPr>
            <w:tcW w:w="2096" w:type="dxa"/>
            <w:gridSpan w:val="3"/>
            <w:tcBorders>
              <w:top w:val="single" w:color="000000" w:sz="4" w:space="0"/>
              <w:left w:val="single" w:color="000000" w:sz="4" w:space="0"/>
              <w:bottom w:val="single" w:color="000000" w:sz="12"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512.99</w:t>
            </w:r>
          </w:p>
        </w:tc>
      </w:tr>
      <w:tr>
        <w:trPr>
          <w:trHeight w:val="555" w:hRule="atLeast"/>
        </w:trPr>
        <w:tc>
          <w:tcPr>
            <w:tcW w:w="9357" w:type="dxa"/>
            <w:gridSpan w:val="10"/>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注：本表反映部门本年度的总收支和年末结转结余情况。</w:t>
            </w:r>
          </w:p>
        </w:tc>
      </w:tr>
    </w:tbl>
    <w:p>
      <w:pPr>
        <w:spacing w:line="567" w:lineRule="exact"/>
        <w:jc w:val="center"/>
        <w:rPr>
          <w:rFonts w:hint="eastAsia" w:ascii="仿宋_GB2312" w:hAnsi="仿宋_GB2312" w:eastAsia="仿宋_GB2312" w:cs="仿宋_GB2312"/>
        </w:rPr>
      </w:pPr>
    </w:p>
    <w:p>
      <w:pPr>
        <w:spacing w:line="567" w:lineRule="exact"/>
        <w:jc w:val="center"/>
        <w:rPr>
          <w:rFonts w:hint="eastAsia" w:ascii="仿宋_GB2312" w:hAnsi="仿宋_GB2312" w:eastAsia="仿宋_GB2312" w:cs="仿宋_GB2312"/>
        </w:rPr>
      </w:pPr>
    </w:p>
    <w:p>
      <w:pPr>
        <w:spacing w:line="567" w:lineRule="exact"/>
        <w:jc w:val="center"/>
        <w:rPr>
          <w:rFonts w:hint="eastAsia" w:ascii="仿宋_GB2312" w:hAnsi="仿宋_GB2312" w:eastAsia="仿宋_GB2312" w:cs="仿宋_GB2312"/>
        </w:rPr>
      </w:pPr>
    </w:p>
    <w:p>
      <w:pPr>
        <w:spacing w:line="567" w:lineRule="exact"/>
        <w:jc w:val="center"/>
        <w:rPr>
          <w:rFonts w:hint="eastAsia" w:ascii="仿宋_GB2312" w:hAnsi="仿宋_GB2312" w:eastAsia="仿宋_GB2312" w:cs="仿宋_GB2312"/>
        </w:rPr>
      </w:pPr>
    </w:p>
    <w:p>
      <w:pPr>
        <w:spacing w:line="567" w:lineRule="exact"/>
        <w:jc w:val="center"/>
        <w:rPr>
          <w:rFonts w:hint="eastAsia" w:ascii="仿宋_GB2312" w:hAnsi="仿宋_GB2312" w:eastAsia="仿宋_GB2312" w:cs="仿宋_GB2312"/>
        </w:rPr>
      </w:pPr>
    </w:p>
    <w:p>
      <w:pPr>
        <w:spacing w:line="567" w:lineRule="exact"/>
        <w:jc w:val="center"/>
        <w:rPr>
          <w:rFonts w:hint="eastAsia" w:ascii="仿宋_GB2312" w:hAnsi="仿宋_GB2312" w:eastAsia="仿宋_GB2312" w:cs="仿宋_GB2312"/>
        </w:rPr>
      </w:pPr>
    </w:p>
    <w:p>
      <w:pPr>
        <w:spacing w:line="567" w:lineRule="exact"/>
        <w:jc w:val="center"/>
        <w:rPr>
          <w:rFonts w:hint="eastAsia" w:ascii="仿宋_GB2312" w:hAnsi="仿宋_GB2312" w:eastAsia="仿宋_GB2312" w:cs="仿宋_GB2312"/>
        </w:rPr>
      </w:pPr>
    </w:p>
    <w:tbl>
      <w:tblPr>
        <w:tblW w:w="10000" w:type="dxa"/>
        <w:tblInd w:w="-95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83"/>
        <w:gridCol w:w="909"/>
        <w:gridCol w:w="1075"/>
        <w:gridCol w:w="620"/>
        <w:gridCol w:w="96"/>
        <w:gridCol w:w="873"/>
        <w:gridCol w:w="229"/>
        <w:gridCol w:w="739"/>
        <w:gridCol w:w="363"/>
        <w:gridCol w:w="605"/>
        <w:gridCol w:w="498"/>
        <w:gridCol w:w="470"/>
        <w:gridCol w:w="633"/>
        <w:gridCol w:w="335"/>
        <w:gridCol w:w="768"/>
        <w:gridCol w:w="1104"/>
      </w:tblGrid>
      <w:tr>
        <w:trPr>
          <w:trHeight w:val="90" w:hRule="atLeast"/>
        </w:trPr>
        <w:tc>
          <w:tcPr>
            <w:tcW w:w="10000" w:type="dxa"/>
            <w:gridSpan w:val="16"/>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收入决算表</w:t>
            </w:r>
          </w:p>
        </w:tc>
      </w:tr>
      <w:tr>
        <w:trPr>
          <w:trHeight w:val="417" w:hRule="atLeast"/>
        </w:trPr>
        <w:tc>
          <w:tcPr>
            <w:tcW w:w="1592"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075" w:type="dxa"/>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620" w:type="dxa"/>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969"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968"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968"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968"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968"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872" w:type="dxa"/>
            <w:gridSpan w:val="2"/>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公开02表</w:t>
            </w:r>
          </w:p>
        </w:tc>
      </w:tr>
      <w:tr>
        <w:trPr>
          <w:trHeight w:val="90" w:hRule="atLeast"/>
        </w:trPr>
        <w:tc>
          <w:tcPr>
            <w:tcW w:w="1592"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部门：</w:t>
            </w:r>
          </w:p>
        </w:tc>
        <w:tc>
          <w:tcPr>
            <w:tcW w:w="1075" w:type="dxa"/>
            <w:tcBorders>
              <w:bottom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郑州市工商联</w:t>
            </w:r>
          </w:p>
        </w:tc>
        <w:tc>
          <w:tcPr>
            <w:tcW w:w="620" w:type="dxa"/>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969"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968"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968"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968"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968"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872" w:type="dxa"/>
            <w:gridSpan w:val="2"/>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金额单位：万元</w:t>
            </w:r>
          </w:p>
        </w:tc>
      </w:tr>
      <w:tr>
        <w:trPr>
          <w:trHeight w:val="90" w:hRule="atLeast"/>
        </w:trPr>
        <w:tc>
          <w:tcPr>
            <w:tcW w:w="2667" w:type="dxa"/>
            <w:gridSpan w:val="3"/>
            <w:tcBorders>
              <w:top w:val="single" w:color="000000" w:sz="12"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项目</w:t>
            </w:r>
          </w:p>
        </w:tc>
        <w:tc>
          <w:tcPr>
            <w:tcW w:w="716" w:type="dxa"/>
            <w:gridSpan w:val="2"/>
            <w:vMerge w:val="restart"/>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本年收入合计</w:t>
            </w:r>
          </w:p>
        </w:tc>
        <w:tc>
          <w:tcPr>
            <w:tcW w:w="1102" w:type="dxa"/>
            <w:gridSpan w:val="2"/>
            <w:vMerge w:val="restart"/>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财政拨款收入</w:t>
            </w:r>
          </w:p>
        </w:tc>
        <w:tc>
          <w:tcPr>
            <w:tcW w:w="1102" w:type="dxa"/>
            <w:gridSpan w:val="2"/>
            <w:vMerge w:val="restart"/>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上级补助收入</w:t>
            </w:r>
          </w:p>
        </w:tc>
        <w:tc>
          <w:tcPr>
            <w:tcW w:w="1103" w:type="dxa"/>
            <w:gridSpan w:val="2"/>
            <w:vMerge w:val="restart"/>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事业收入</w:t>
            </w:r>
          </w:p>
        </w:tc>
        <w:tc>
          <w:tcPr>
            <w:tcW w:w="1103" w:type="dxa"/>
            <w:gridSpan w:val="2"/>
            <w:vMerge w:val="restart"/>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经营收入</w:t>
            </w:r>
          </w:p>
        </w:tc>
        <w:tc>
          <w:tcPr>
            <w:tcW w:w="1103" w:type="dxa"/>
            <w:gridSpan w:val="2"/>
            <w:vMerge w:val="restart"/>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附属单位</w:t>
            </w:r>
            <w:r>
              <w:rPr>
                <w:rFonts w:hint="eastAsia" w:ascii="仿宋_GB2312" w:hAnsi="仿宋_GB2312" w:eastAsia="仿宋_GB2312" w:cs="仿宋_GB2312"/>
                <w:b/>
                <w:bCs/>
                <w:color w:val="000000"/>
                <w:kern w:val="0"/>
                <w:sz w:val="16"/>
                <w:szCs w:val="16"/>
              </w:rPr>
              <w:br/>
            </w:r>
            <w:r>
              <w:rPr>
                <w:rFonts w:hint="eastAsia" w:ascii="仿宋_GB2312" w:hAnsi="仿宋_GB2312" w:eastAsia="仿宋_GB2312" w:cs="仿宋_GB2312"/>
                <w:b/>
                <w:bCs/>
                <w:color w:val="000000"/>
                <w:kern w:val="0"/>
                <w:sz w:val="16"/>
                <w:szCs w:val="16"/>
              </w:rPr>
              <w:t>上缴收入</w:t>
            </w:r>
          </w:p>
        </w:tc>
        <w:tc>
          <w:tcPr>
            <w:tcW w:w="1104" w:type="dxa"/>
            <w:vMerge w:val="restart"/>
            <w:tcBorders>
              <w:top w:val="single" w:color="000000" w:sz="12"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其他收入</w:t>
            </w:r>
          </w:p>
        </w:tc>
      </w:tr>
      <w:tr>
        <w:trPr>
          <w:trHeight w:val="141"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功能分类</w:t>
            </w:r>
            <w:r>
              <w:rPr>
                <w:rFonts w:hint="eastAsia" w:ascii="仿宋_GB2312" w:hAnsi="仿宋_GB2312" w:eastAsia="仿宋_GB2312" w:cs="仿宋_GB2312"/>
                <w:b/>
                <w:bCs/>
                <w:color w:val="000000"/>
                <w:kern w:val="0"/>
                <w:sz w:val="16"/>
                <w:szCs w:val="16"/>
              </w:rPr>
              <w:br/>
            </w:r>
            <w:r>
              <w:rPr>
                <w:rFonts w:hint="eastAsia" w:ascii="仿宋_GB2312" w:hAnsi="仿宋_GB2312" w:eastAsia="仿宋_GB2312" w:cs="仿宋_GB2312"/>
                <w:b/>
                <w:bCs/>
                <w:color w:val="000000"/>
                <w:kern w:val="0"/>
                <w:sz w:val="16"/>
                <w:szCs w:val="16"/>
              </w:rPr>
              <w:t>科目编码</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科目名称</w:t>
            </w:r>
          </w:p>
        </w:tc>
        <w:tc>
          <w:tcPr>
            <w:tcW w:w="716" w:type="dxa"/>
            <w:gridSpan w:val="2"/>
            <w:vMerge w:val="continue"/>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102" w:type="dxa"/>
            <w:gridSpan w:val="2"/>
            <w:vMerge w:val="continue"/>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102" w:type="dxa"/>
            <w:gridSpan w:val="2"/>
            <w:vMerge w:val="continue"/>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103" w:type="dxa"/>
            <w:gridSpan w:val="2"/>
            <w:vMerge w:val="continue"/>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103" w:type="dxa"/>
            <w:gridSpan w:val="2"/>
            <w:vMerge w:val="continue"/>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103" w:type="dxa"/>
            <w:gridSpan w:val="2"/>
            <w:vMerge w:val="continue"/>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104" w:type="dxa"/>
            <w:vMerge w:val="continue"/>
            <w:tcBorders>
              <w:top w:val="single" w:color="000000" w:sz="12" w:space="0"/>
              <w:left w:val="nil"/>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r>
      <w:tr>
        <w:trPr>
          <w:trHeight w:val="90" w:hRule="atLeast"/>
        </w:trPr>
        <w:tc>
          <w:tcPr>
            <w:tcW w:w="2667" w:type="dxa"/>
            <w:gridSpan w:val="3"/>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栏次</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1</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2</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3</w:t>
            </w: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4</w:t>
            </w: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5</w:t>
            </w: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6</w:t>
            </w: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7</w:t>
            </w:r>
          </w:p>
        </w:tc>
      </w:tr>
      <w:tr>
        <w:trPr>
          <w:trHeight w:val="90" w:hRule="atLeast"/>
        </w:trPr>
        <w:tc>
          <w:tcPr>
            <w:tcW w:w="2667" w:type="dxa"/>
            <w:gridSpan w:val="3"/>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合计</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512.99</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512.99</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201</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一般公共服务支出</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434.23</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434.23</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201</w:t>
            </w:r>
            <w:r>
              <w:rPr>
                <w:rFonts w:hint="eastAsia" w:ascii="仿宋_GB2312" w:hAnsi="仿宋_GB2312" w:eastAsia="仿宋_GB2312" w:cs="仿宋_GB2312"/>
                <w:color w:val="000000"/>
                <w:kern w:val="0"/>
                <w:sz w:val="16"/>
                <w:szCs w:val="16"/>
                <w:lang w:val="en-US" w:eastAsia="zh-CN"/>
              </w:rPr>
              <w:t>28</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eastAsia="zh-CN"/>
              </w:rPr>
            </w:pPr>
            <w:r>
              <w:rPr>
                <w:rFonts w:hint="eastAsia" w:ascii="仿宋_GB2312" w:hAnsi="仿宋_GB2312" w:eastAsia="仿宋_GB2312" w:cs="仿宋_GB2312"/>
                <w:color w:val="000000"/>
                <w:kern w:val="0"/>
                <w:sz w:val="16"/>
                <w:szCs w:val="16"/>
                <w:highlight w:val="none"/>
                <w:lang w:eastAsia="zh-CN"/>
              </w:rPr>
              <w:t>民主党派及工商联事务</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b/>
                <w:bCs/>
                <w:color w:val="000000"/>
                <w:sz w:val="16"/>
                <w:szCs w:val="16"/>
                <w:highlight w:val="none"/>
                <w:lang w:val="en-US" w:eastAsia="zh-CN"/>
              </w:rPr>
              <w:t>434.23</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b/>
                <w:bCs/>
                <w:color w:val="000000"/>
                <w:sz w:val="16"/>
                <w:szCs w:val="16"/>
                <w:highlight w:val="none"/>
                <w:lang w:val="en-US" w:eastAsia="zh-CN"/>
              </w:rPr>
              <w:t>434.23</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kern w:val="0"/>
                <w:sz w:val="16"/>
                <w:szCs w:val="16"/>
                <w:lang w:val="en-US" w:eastAsia="zh-CN"/>
              </w:rPr>
              <w:t>2012801</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rPr>
              <w:t>行政运行</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374.26</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374.26</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2012802</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rPr>
              <w:t>一般行政管理事务</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57.49</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57.49</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kern w:val="0"/>
                <w:sz w:val="16"/>
                <w:szCs w:val="16"/>
                <w:lang w:val="en-US" w:eastAsia="zh-CN"/>
              </w:rPr>
              <w:t>2012850</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eastAsia="zh-CN"/>
              </w:rPr>
              <w:t>事业运行</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2.48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2.48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kern w:val="0"/>
                <w:sz w:val="16"/>
                <w:szCs w:val="16"/>
                <w:lang w:val="en-US" w:eastAsia="zh-CN"/>
              </w:rPr>
              <w:t>208</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eastAsia="zh-CN"/>
              </w:rPr>
            </w:pPr>
            <w:r>
              <w:rPr>
                <w:rFonts w:hint="eastAsia" w:ascii="仿宋_GB2312" w:hAnsi="仿宋_GB2312" w:eastAsia="仿宋_GB2312" w:cs="仿宋_GB2312"/>
                <w:color w:val="000000"/>
                <w:sz w:val="16"/>
                <w:szCs w:val="16"/>
                <w:highlight w:val="none"/>
                <w:lang w:eastAsia="zh-CN"/>
              </w:rPr>
              <w:t>社会保障和就业支出</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47.28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47.28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kern w:val="0"/>
                <w:sz w:val="16"/>
                <w:szCs w:val="16"/>
                <w:lang w:val="en-US" w:eastAsia="zh-CN"/>
              </w:rPr>
              <w:t>20805</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eastAsia="zh-CN"/>
              </w:rPr>
            </w:pPr>
            <w:r>
              <w:rPr>
                <w:rFonts w:hint="eastAsia" w:ascii="仿宋_GB2312" w:hAnsi="仿宋_GB2312" w:eastAsia="仿宋_GB2312" w:cs="仿宋_GB2312"/>
                <w:color w:val="000000"/>
                <w:sz w:val="16"/>
                <w:szCs w:val="16"/>
                <w:highlight w:val="none"/>
                <w:lang w:eastAsia="zh-CN"/>
              </w:rPr>
              <w:t>行政事业单位离退休</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47.28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47.28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eastAsia="zh-CN"/>
              </w:rPr>
            </w:pPr>
            <w:r>
              <w:rPr>
                <w:rFonts w:hint="eastAsia" w:ascii="仿宋_GB2312" w:hAnsi="仿宋_GB2312" w:eastAsia="仿宋_GB2312" w:cs="仿宋_GB2312"/>
                <w:color w:val="000000"/>
                <w:kern w:val="0"/>
                <w:sz w:val="16"/>
                <w:szCs w:val="16"/>
                <w:lang w:val="en-US" w:eastAsia="zh-CN"/>
              </w:rPr>
              <w:t>2080501</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eastAsia="zh-CN"/>
              </w:rPr>
            </w:pPr>
            <w:r>
              <w:rPr>
                <w:rFonts w:hint="eastAsia" w:ascii="仿宋_GB2312" w:hAnsi="仿宋_GB2312" w:eastAsia="仿宋_GB2312" w:cs="仿宋_GB2312"/>
                <w:color w:val="000000"/>
                <w:kern w:val="0"/>
                <w:sz w:val="16"/>
                <w:szCs w:val="16"/>
                <w:highlight w:val="none"/>
                <w:lang w:eastAsia="zh-CN"/>
              </w:rPr>
              <w:t>归口管理的行政单位离退休</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21.17</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21.17</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r>
      <w:tr>
        <w:trPr>
          <w:trHeight w:val="139"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eastAsia="zh-CN"/>
              </w:rPr>
            </w:pPr>
            <w:r>
              <w:rPr>
                <w:rFonts w:hint="eastAsia" w:ascii="仿宋_GB2312" w:hAnsi="仿宋_GB2312" w:eastAsia="仿宋_GB2312" w:cs="仿宋_GB2312"/>
                <w:color w:val="000000"/>
                <w:kern w:val="0"/>
                <w:sz w:val="16"/>
                <w:szCs w:val="16"/>
                <w:lang w:val="en-US" w:eastAsia="zh-CN"/>
              </w:rPr>
              <w:t>2080505</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eastAsia="zh-CN"/>
              </w:rPr>
            </w:pPr>
            <w:r>
              <w:rPr>
                <w:rFonts w:hint="eastAsia" w:ascii="仿宋_GB2312" w:hAnsi="仿宋_GB2312" w:eastAsia="仿宋_GB2312" w:cs="仿宋_GB2312"/>
                <w:color w:val="000000"/>
                <w:kern w:val="0"/>
                <w:sz w:val="16"/>
                <w:szCs w:val="16"/>
                <w:highlight w:val="none"/>
                <w:lang w:eastAsia="zh-CN"/>
              </w:rPr>
              <w:t>机关事业单位基本养老保险缴费支出</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26.11</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26.11</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eastAsia="zh-CN"/>
              </w:rPr>
            </w:pPr>
            <w:r>
              <w:rPr>
                <w:rFonts w:hint="eastAsia" w:ascii="仿宋_GB2312" w:hAnsi="仿宋_GB2312" w:eastAsia="仿宋_GB2312" w:cs="仿宋_GB2312"/>
                <w:color w:val="000000"/>
                <w:kern w:val="0"/>
                <w:sz w:val="16"/>
                <w:szCs w:val="16"/>
                <w:lang w:val="en-US" w:eastAsia="zh-CN"/>
              </w:rPr>
              <w:t>210</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eastAsia="zh-CN"/>
              </w:rPr>
            </w:pPr>
            <w:r>
              <w:rPr>
                <w:rFonts w:hint="eastAsia" w:ascii="仿宋_GB2312" w:hAnsi="仿宋_GB2312" w:eastAsia="仿宋_GB2312" w:cs="仿宋_GB2312"/>
                <w:color w:val="000000"/>
                <w:kern w:val="0"/>
                <w:sz w:val="16"/>
                <w:szCs w:val="16"/>
                <w:highlight w:val="none"/>
                <w:lang w:eastAsia="zh-CN"/>
              </w:rPr>
              <w:t>医疗卫生与计划生育支出</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10.48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10.48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21011</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eastAsia="zh-CN"/>
              </w:rPr>
            </w:pPr>
            <w:r>
              <w:rPr>
                <w:rFonts w:hint="eastAsia" w:ascii="仿宋_GB2312" w:hAnsi="仿宋_GB2312" w:eastAsia="仿宋_GB2312" w:cs="仿宋_GB2312"/>
                <w:color w:val="000000"/>
                <w:sz w:val="16"/>
                <w:szCs w:val="16"/>
                <w:highlight w:val="none"/>
                <w:lang w:eastAsia="zh-CN"/>
              </w:rPr>
              <w:t>行政事业单位医疗</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10.48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10.48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2101101</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eastAsia="zh-CN"/>
              </w:rPr>
            </w:pPr>
            <w:r>
              <w:rPr>
                <w:rFonts w:hint="eastAsia" w:ascii="仿宋_GB2312" w:hAnsi="仿宋_GB2312" w:eastAsia="仿宋_GB2312" w:cs="仿宋_GB2312"/>
                <w:color w:val="000000"/>
                <w:kern w:val="0"/>
                <w:sz w:val="16"/>
                <w:szCs w:val="16"/>
                <w:highlight w:val="none"/>
                <w:lang w:eastAsia="zh-CN"/>
              </w:rPr>
              <w:t>行政单位医疗</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10.48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10.48</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221</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eastAsia="zh-CN"/>
              </w:rPr>
            </w:pPr>
            <w:r>
              <w:rPr>
                <w:rFonts w:hint="eastAsia" w:ascii="仿宋_GB2312" w:hAnsi="仿宋_GB2312" w:eastAsia="仿宋_GB2312" w:cs="仿宋_GB2312"/>
                <w:color w:val="000000"/>
                <w:kern w:val="0"/>
                <w:sz w:val="16"/>
                <w:szCs w:val="16"/>
                <w:highlight w:val="none"/>
                <w:lang w:eastAsia="zh-CN"/>
              </w:rPr>
              <w:t>住房保障支出</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21.01</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21.01</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r>
      <w:tr>
        <w:trPr>
          <w:trHeight w:val="90" w:hRule="atLeast"/>
        </w:trPr>
        <w:tc>
          <w:tcPr>
            <w:tcW w:w="683"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22102</w:t>
            </w:r>
          </w:p>
        </w:tc>
        <w:tc>
          <w:tcPr>
            <w:tcW w:w="1984"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eastAsia="zh-CN"/>
              </w:rPr>
            </w:pPr>
            <w:r>
              <w:rPr>
                <w:rFonts w:hint="eastAsia" w:ascii="仿宋_GB2312" w:hAnsi="仿宋_GB2312" w:eastAsia="仿宋_GB2312" w:cs="仿宋_GB2312"/>
                <w:color w:val="000000"/>
                <w:kern w:val="0"/>
                <w:sz w:val="16"/>
                <w:szCs w:val="16"/>
                <w:highlight w:val="none"/>
                <w:lang w:eastAsia="zh-CN"/>
              </w:rPr>
              <w:t>住房改革支出</w:t>
            </w:r>
          </w:p>
        </w:tc>
        <w:tc>
          <w:tcPr>
            <w:tcW w:w="71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21.01</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21.01</w:t>
            </w:r>
          </w:p>
        </w:tc>
        <w:tc>
          <w:tcPr>
            <w:tcW w:w="1102"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3"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104" w:type="dxa"/>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r>
      <w:tr>
        <w:trPr>
          <w:trHeight w:val="90" w:hRule="atLeast"/>
        </w:trPr>
        <w:tc>
          <w:tcPr>
            <w:tcW w:w="683" w:type="dxa"/>
            <w:tcBorders>
              <w:top w:val="single" w:color="000000" w:sz="4" w:space="0"/>
              <w:left w:val="single" w:color="000000" w:sz="12" w:space="0"/>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sz w:val="16"/>
                <w:szCs w:val="16"/>
                <w:lang w:val="en-US" w:eastAsia="zh-CN"/>
              </w:rPr>
              <w:t>2210201</w:t>
            </w:r>
          </w:p>
        </w:tc>
        <w:tc>
          <w:tcPr>
            <w:tcW w:w="1984"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eastAsia="zh-CN"/>
              </w:rPr>
            </w:pPr>
            <w:r>
              <w:rPr>
                <w:rFonts w:hint="eastAsia" w:ascii="仿宋_GB2312" w:hAnsi="仿宋_GB2312" w:eastAsia="仿宋_GB2312" w:cs="仿宋_GB2312"/>
                <w:color w:val="000000"/>
                <w:sz w:val="16"/>
                <w:szCs w:val="16"/>
                <w:highlight w:val="none"/>
                <w:lang w:eastAsia="zh-CN"/>
              </w:rPr>
              <w:t>住房公积金</w:t>
            </w:r>
          </w:p>
        </w:tc>
        <w:tc>
          <w:tcPr>
            <w:tcW w:w="716"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21.01</w:t>
            </w:r>
          </w:p>
        </w:tc>
        <w:tc>
          <w:tcPr>
            <w:tcW w:w="1102"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21.01</w:t>
            </w:r>
          </w:p>
        </w:tc>
        <w:tc>
          <w:tcPr>
            <w:tcW w:w="1102"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p>
        </w:tc>
        <w:tc>
          <w:tcPr>
            <w:tcW w:w="1103"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103"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103"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104" w:type="dxa"/>
            <w:tcBorders>
              <w:top w:val="single" w:color="000000" w:sz="4" w:space="0"/>
              <w:left w:val="nil"/>
              <w:bottom w:val="single" w:color="000000" w:sz="12"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r>
      <w:tr>
        <w:trPr>
          <w:trHeight w:val="90" w:hRule="atLeast"/>
        </w:trPr>
        <w:tc>
          <w:tcPr>
            <w:tcW w:w="10000" w:type="dxa"/>
            <w:gridSpan w:val="16"/>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eastAsia="zh-CN"/>
              </w:rPr>
              <w:t>+</w:t>
            </w:r>
            <w:r>
              <w:rPr>
                <w:rFonts w:hint="eastAsia" w:ascii="仿宋_GB2312" w:hAnsi="仿宋_GB2312" w:eastAsia="仿宋_GB2312" w:cs="仿宋_GB2312"/>
                <w:color w:val="000000"/>
                <w:kern w:val="0"/>
                <w:sz w:val="16"/>
                <w:szCs w:val="16"/>
              </w:rPr>
              <w:t>注：本表反映部门本年度取得的各项收入情况。</w:t>
            </w:r>
          </w:p>
        </w:tc>
      </w:tr>
    </w:tbl>
    <w:p>
      <w:pPr>
        <w:spacing w:line="567" w:lineRule="exact"/>
        <w:jc w:val="center"/>
        <w:rPr>
          <w:rFonts w:hint="eastAsia" w:ascii="仿宋_GB2312" w:hAnsi="仿宋_GB2312" w:eastAsia="仿宋_GB2312" w:cs="仿宋_GB2312"/>
        </w:rPr>
        <w:sectPr>
          <w:footerReference r:id="rId9" w:type="default"/>
          <w:type w:val="continuous"/>
          <w:pgSz w:w="11906" w:h="16838"/>
          <w:pgMar w:top="2211" w:right="1418" w:bottom="1871" w:left="1531" w:header="720" w:footer="1120" w:gutter="0"/>
          <w:cols w:space="720" w:num="1"/>
          <w:docGrid w:type="lines" w:linePitch="312"/>
        </w:sectPr>
      </w:pPr>
    </w:p>
    <w:tbl>
      <w:tblPr>
        <w:tblW w:w="10080" w:type="dxa"/>
        <w:tblInd w:w="-95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30"/>
        <w:gridCol w:w="868"/>
        <w:gridCol w:w="1330"/>
        <w:gridCol w:w="1016"/>
        <w:gridCol w:w="21"/>
        <w:gridCol w:w="853"/>
        <w:gridCol w:w="183"/>
        <w:gridCol w:w="692"/>
        <w:gridCol w:w="345"/>
        <w:gridCol w:w="529"/>
        <w:gridCol w:w="507"/>
        <w:gridCol w:w="368"/>
        <w:gridCol w:w="669"/>
        <w:gridCol w:w="1035"/>
        <w:gridCol w:w="1"/>
        <w:gridCol w:w="1031"/>
        <w:gridCol w:w="2"/>
      </w:tblGrid>
      <w:tr>
        <w:trPr>
          <w:gridAfter w:val="1"/>
          <w:wAfter w:w="2" w:type="dxa"/>
          <w:trHeight w:val="90" w:hRule="atLeast"/>
        </w:trPr>
        <w:tc>
          <w:tcPr>
            <w:tcW w:w="9046" w:type="dxa"/>
            <w:gridSpan w:val="14"/>
            <w:vAlign w:val="center"/>
          </w:tcPr>
          <w:p>
            <w:pPr>
              <w:wordWrap/>
              <w:adjustRightInd/>
              <w:snapToGrid/>
              <w:spacing w:line="440" w:lineRule="exact"/>
              <w:jc w:val="center"/>
              <w:outlineLvl w:val="9"/>
              <w:rPr>
                <w:rFonts w:hint="eastAsia" w:ascii="仿宋_GB2312" w:hAnsi="仿宋_GB2312" w:eastAsia="仿宋_GB2312" w:cs="仿宋_GB2312"/>
                <w:color w:val="000000"/>
                <w:kern w:val="0"/>
                <w:sz w:val="28"/>
                <w:szCs w:val="28"/>
              </w:rPr>
            </w:pPr>
          </w:p>
          <w:p>
            <w:pPr>
              <w:wordWrap/>
              <w:adjustRightInd/>
              <w:snapToGrid/>
              <w:spacing w:line="440" w:lineRule="exact"/>
              <w:jc w:val="center"/>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支出决算表</w:t>
            </w:r>
          </w:p>
        </w:tc>
        <w:tc>
          <w:tcPr>
            <w:tcW w:w="1032" w:type="dxa"/>
            <w:gridSpan w:val="2"/>
            <w:vAlign w:val="center"/>
          </w:tcPr>
          <w:p>
            <w:pPr>
              <w:wordWrap/>
              <w:adjustRightInd/>
              <w:snapToGrid/>
              <w:spacing w:line="440" w:lineRule="exact"/>
              <w:jc w:val="center"/>
              <w:outlineLvl w:val="9"/>
              <w:rPr>
                <w:rFonts w:hint="eastAsia" w:ascii="仿宋_GB2312" w:hAnsi="仿宋_GB2312" w:eastAsia="仿宋_GB2312" w:cs="仿宋_GB2312"/>
                <w:color w:val="000000"/>
                <w:kern w:val="0"/>
                <w:sz w:val="28"/>
                <w:szCs w:val="28"/>
              </w:rPr>
            </w:pPr>
          </w:p>
        </w:tc>
      </w:tr>
      <w:tr>
        <w:trPr>
          <w:gridAfter w:val="1"/>
          <w:wAfter w:w="2" w:type="dxa"/>
          <w:trHeight w:val="90" w:hRule="atLeast"/>
        </w:trPr>
        <w:tc>
          <w:tcPr>
            <w:tcW w:w="1498" w:type="dxa"/>
            <w:gridSpan w:val="2"/>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330" w:type="dxa"/>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016" w:type="dxa"/>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874" w:type="dxa"/>
            <w:gridSpan w:val="2"/>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875" w:type="dxa"/>
            <w:gridSpan w:val="2"/>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874" w:type="dxa"/>
            <w:gridSpan w:val="2"/>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875" w:type="dxa"/>
            <w:gridSpan w:val="2"/>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704" w:type="dxa"/>
            <w:gridSpan w:val="2"/>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公开03表</w:t>
            </w:r>
          </w:p>
        </w:tc>
        <w:tc>
          <w:tcPr>
            <w:tcW w:w="1032" w:type="dxa"/>
            <w:gridSpan w:val="2"/>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r>
      <w:tr>
        <w:trPr>
          <w:gridAfter w:val="1"/>
          <w:wAfter w:w="2" w:type="dxa"/>
          <w:trHeight w:val="90" w:hRule="atLeast"/>
        </w:trPr>
        <w:tc>
          <w:tcPr>
            <w:tcW w:w="1498" w:type="dxa"/>
            <w:gridSpan w:val="2"/>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部门：</w:t>
            </w:r>
          </w:p>
        </w:tc>
        <w:tc>
          <w:tcPr>
            <w:tcW w:w="1330" w:type="dxa"/>
            <w:tcBorders>
              <w:bottom w:val="single" w:color="000000" w:sz="12" w:space="0"/>
            </w:tcBorders>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郑州市工商联</w:t>
            </w:r>
          </w:p>
        </w:tc>
        <w:tc>
          <w:tcPr>
            <w:tcW w:w="1016" w:type="dxa"/>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874" w:type="dxa"/>
            <w:gridSpan w:val="2"/>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875" w:type="dxa"/>
            <w:gridSpan w:val="2"/>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874" w:type="dxa"/>
            <w:gridSpan w:val="2"/>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875" w:type="dxa"/>
            <w:gridSpan w:val="2"/>
            <w:vAlign w:val="center"/>
          </w:tcPr>
          <w:p>
            <w:pPr>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704" w:type="dxa"/>
            <w:gridSpan w:val="2"/>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金额单位：万元</w:t>
            </w:r>
          </w:p>
        </w:tc>
        <w:tc>
          <w:tcPr>
            <w:tcW w:w="1032" w:type="dxa"/>
            <w:gridSpan w:val="2"/>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r>
      <w:tr>
        <w:trPr>
          <w:trHeight w:val="90" w:hRule="atLeast"/>
        </w:trPr>
        <w:tc>
          <w:tcPr>
            <w:tcW w:w="2828" w:type="dxa"/>
            <w:gridSpan w:val="3"/>
            <w:tcBorders>
              <w:top w:val="single" w:color="000000" w:sz="12"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项  目</w:t>
            </w:r>
          </w:p>
        </w:tc>
        <w:tc>
          <w:tcPr>
            <w:tcW w:w="1037" w:type="dxa"/>
            <w:gridSpan w:val="2"/>
            <w:vMerge w:val="restart"/>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本年支出合计</w:t>
            </w:r>
          </w:p>
        </w:tc>
        <w:tc>
          <w:tcPr>
            <w:tcW w:w="1036" w:type="dxa"/>
            <w:gridSpan w:val="2"/>
            <w:vMerge w:val="restart"/>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基本支出</w:t>
            </w:r>
          </w:p>
        </w:tc>
        <w:tc>
          <w:tcPr>
            <w:tcW w:w="1037" w:type="dxa"/>
            <w:gridSpan w:val="2"/>
            <w:vMerge w:val="restart"/>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项目支出</w:t>
            </w:r>
          </w:p>
        </w:tc>
        <w:tc>
          <w:tcPr>
            <w:tcW w:w="1036" w:type="dxa"/>
            <w:gridSpan w:val="2"/>
            <w:vMerge w:val="restart"/>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上缴上级支出</w:t>
            </w:r>
          </w:p>
        </w:tc>
        <w:tc>
          <w:tcPr>
            <w:tcW w:w="1037" w:type="dxa"/>
            <w:gridSpan w:val="2"/>
            <w:vMerge w:val="restart"/>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经营支出</w:t>
            </w:r>
          </w:p>
        </w:tc>
        <w:tc>
          <w:tcPr>
            <w:tcW w:w="1036" w:type="dxa"/>
            <w:gridSpan w:val="2"/>
            <w:vMerge w:val="restart"/>
            <w:tcBorders>
              <w:top w:val="single" w:color="000000" w:sz="12"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对附属单位</w:t>
            </w:r>
            <w:r>
              <w:rPr>
                <w:rFonts w:hint="eastAsia" w:ascii="仿宋_GB2312" w:hAnsi="仿宋_GB2312" w:eastAsia="仿宋_GB2312" w:cs="仿宋_GB2312"/>
                <w:b/>
                <w:bCs/>
                <w:color w:val="000000"/>
                <w:kern w:val="0"/>
                <w:sz w:val="16"/>
                <w:szCs w:val="16"/>
              </w:rPr>
              <w:br/>
            </w:r>
            <w:r>
              <w:rPr>
                <w:rFonts w:hint="eastAsia" w:ascii="仿宋_GB2312" w:hAnsi="仿宋_GB2312" w:eastAsia="仿宋_GB2312" w:cs="仿宋_GB2312"/>
                <w:b/>
                <w:bCs/>
                <w:color w:val="000000"/>
                <w:kern w:val="0"/>
                <w:sz w:val="16"/>
                <w:szCs w:val="16"/>
              </w:rPr>
              <w:t>补助支出</w:t>
            </w:r>
          </w:p>
        </w:tc>
        <w:tc>
          <w:tcPr>
            <w:tcW w:w="1033" w:type="dxa"/>
            <w:gridSpan w:val="2"/>
            <w:tcBorders>
              <w:top w:val="single" w:color="000000" w:sz="12"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kern w:val="0"/>
                <w:sz w:val="16"/>
                <w:szCs w:val="16"/>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功能分类</w:t>
            </w:r>
            <w:r>
              <w:rPr>
                <w:rFonts w:hint="eastAsia" w:ascii="仿宋_GB2312" w:hAnsi="仿宋_GB2312" w:eastAsia="仿宋_GB2312" w:cs="仿宋_GB2312"/>
                <w:b/>
                <w:bCs/>
                <w:color w:val="000000"/>
                <w:kern w:val="0"/>
                <w:sz w:val="16"/>
                <w:szCs w:val="16"/>
              </w:rPr>
              <w:br/>
            </w:r>
            <w:r>
              <w:rPr>
                <w:rFonts w:hint="eastAsia" w:ascii="仿宋_GB2312" w:hAnsi="仿宋_GB2312" w:eastAsia="仿宋_GB2312" w:cs="仿宋_GB2312"/>
                <w:b/>
                <w:bCs/>
                <w:color w:val="000000"/>
                <w:kern w:val="0"/>
                <w:sz w:val="16"/>
                <w:szCs w:val="16"/>
              </w:rPr>
              <w:t>科目编码</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科目名称</w:t>
            </w:r>
          </w:p>
        </w:tc>
        <w:tc>
          <w:tcPr>
            <w:tcW w:w="1037" w:type="dxa"/>
            <w:gridSpan w:val="2"/>
            <w:vMerge w:val="continue"/>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036" w:type="dxa"/>
            <w:gridSpan w:val="2"/>
            <w:vMerge w:val="continue"/>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037" w:type="dxa"/>
            <w:gridSpan w:val="2"/>
            <w:vMerge w:val="continue"/>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036" w:type="dxa"/>
            <w:gridSpan w:val="2"/>
            <w:vMerge w:val="continue"/>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037" w:type="dxa"/>
            <w:gridSpan w:val="2"/>
            <w:vMerge w:val="continue"/>
            <w:tcBorders>
              <w:top w:val="single" w:color="000000" w:sz="12" w:space="0"/>
              <w:left w:val="nil"/>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036" w:type="dxa"/>
            <w:gridSpan w:val="2"/>
            <w:vMerge w:val="continue"/>
            <w:tcBorders>
              <w:top w:val="single" w:color="000000" w:sz="12" w:space="0"/>
              <w:left w:val="nil"/>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c>
          <w:tcPr>
            <w:tcW w:w="1033" w:type="dxa"/>
            <w:gridSpan w:val="2"/>
            <w:tcBorders>
              <w:top w:val="single" w:color="000000" w:sz="12" w:space="0"/>
              <w:left w:val="nil"/>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bCs/>
                <w:color w:val="000000"/>
                <w:sz w:val="16"/>
                <w:szCs w:val="16"/>
              </w:rPr>
            </w:pPr>
          </w:p>
        </w:tc>
      </w:tr>
      <w:tr>
        <w:trPr>
          <w:trHeight w:val="90" w:hRule="atLeast"/>
        </w:trPr>
        <w:tc>
          <w:tcPr>
            <w:tcW w:w="2828" w:type="dxa"/>
            <w:gridSpan w:val="3"/>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栏次</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1</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2</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3</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4</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5</w:t>
            </w: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6</w:t>
            </w: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kern w:val="0"/>
                <w:sz w:val="16"/>
                <w:szCs w:val="16"/>
              </w:rPr>
            </w:pPr>
          </w:p>
        </w:tc>
      </w:tr>
      <w:tr>
        <w:trPr>
          <w:trHeight w:val="90" w:hRule="atLeast"/>
        </w:trPr>
        <w:tc>
          <w:tcPr>
            <w:tcW w:w="2828" w:type="dxa"/>
            <w:gridSpan w:val="3"/>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合计</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512.99</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455.50</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57.49</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201</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一般公共服务支出</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434.23</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376.73</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57.49</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bCs/>
                <w:color w:val="000000"/>
                <w:sz w:val="16"/>
                <w:szCs w:val="16"/>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kern w:val="0"/>
                <w:sz w:val="16"/>
                <w:szCs w:val="16"/>
              </w:rPr>
              <w:t>201</w:t>
            </w:r>
            <w:r>
              <w:rPr>
                <w:rFonts w:hint="eastAsia" w:ascii="仿宋_GB2312" w:hAnsi="仿宋_GB2312" w:eastAsia="仿宋_GB2312" w:cs="仿宋_GB2312"/>
                <w:color w:val="000000"/>
                <w:kern w:val="0"/>
                <w:sz w:val="16"/>
                <w:szCs w:val="16"/>
                <w:lang w:val="en-US" w:eastAsia="zh-CN"/>
              </w:rPr>
              <w:t>28</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highlight w:val="none"/>
                <w:lang w:eastAsia="zh-CN"/>
              </w:rPr>
              <w:t>民主党派及工商联事务</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434.23</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376.73</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57.49</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kern w:val="0"/>
                <w:sz w:val="16"/>
                <w:szCs w:val="16"/>
                <w:lang w:val="en-US" w:eastAsia="zh-CN"/>
              </w:rPr>
              <w:t>2012801</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highlight w:val="none"/>
              </w:rPr>
              <w:t>行政运行</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374.26</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374.26</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0.00</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2012802</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highlight w:val="none"/>
              </w:rPr>
              <w:t>一般行政管理事务</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57.49</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0.00</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57.49</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kern w:val="0"/>
                <w:sz w:val="16"/>
                <w:szCs w:val="16"/>
                <w:lang w:val="en-US" w:eastAsia="zh-CN"/>
              </w:rPr>
              <w:t>2012850</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kern w:val="0"/>
                <w:sz w:val="16"/>
                <w:szCs w:val="16"/>
                <w:highlight w:val="none"/>
                <w:lang w:eastAsia="zh-CN"/>
              </w:rPr>
              <w:t>事业运行</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2.48</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2.48</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0.00</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kern w:val="0"/>
                <w:sz w:val="16"/>
                <w:szCs w:val="16"/>
                <w:lang w:val="en-US" w:eastAsia="zh-CN"/>
              </w:rPr>
              <w:t>208</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sz w:val="16"/>
                <w:szCs w:val="16"/>
                <w:highlight w:val="none"/>
                <w:lang w:eastAsia="zh-CN"/>
              </w:rPr>
              <w:t>社会保障和就业支出</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47.28</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47.28</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0.00</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20805</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sz w:val="16"/>
                <w:szCs w:val="16"/>
                <w:highlight w:val="none"/>
                <w:lang w:eastAsia="zh-CN"/>
              </w:rPr>
              <w:t>行政事业单位离退休</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47.28</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47.28</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0.00</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2080501</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kern w:val="0"/>
                <w:sz w:val="16"/>
                <w:szCs w:val="16"/>
                <w:highlight w:val="none"/>
                <w:lang w:eastAsia="zh-CN"/>
              </w:rPr>
              <w:t>归口管理的行政单位离退休</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21.17</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21.17</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0.00</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2080505</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kern w:val="0"/>
                <w:sz w:val="16"/>
                <w:szCs w:val="16"/>
                <w:highlight w:val="none"/>
                <w:lang w:eastAsia="zh-CN"/>
              </w:rPr>
              <w:t>机关事业单位基本养老保险缴费支出</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26.11</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26.11</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0.00</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210</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kern w:val="0"/>
                <w:sz w:val="16"/>
                <w:szCs w:val="16"/>
                <w:highlight w:val="none"/>
                <w:lang w:eastAsia="zh-CN"/>
              </w:rPr>
              <w:t>医疗卫生与计划生育支出</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10.48</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10.48</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lang w:val="en-US" w:eastAsia="zh-CN"/>
              </w:rPr>
            </w:pPr>
            <w:r>
              <w:rPr>
                <w:rFonts w:hint="eastAsia" w:ascii="仿宋_GB2312" w:hAnsi="仿宋_GB2312" w:eastAsia="仿宋_GB2312" w:cs="仿宋_GB2312"/>
                <w:color w:val="000000"/>
                <w:sz w:val="16"/>
                <w:szCs w:val="16"/>
                <w:highlight w:val="none"/>
                <w:lang w:val="en-US" w:eastAsia="zh-CN"/>
              </w:rPr>
              <w:t>0.00</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21011</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lang w:eastAsia="zh-CN"/>
              </w:rPr>
            </w:pPr>
            <w:r>
              <w:rPr>
                <w:rFonts w:hint="eastAsia" w:ascii="仿宋_GB2312" w:hAnsi="仿宋_GB2312" w:eastAsia="仿宋_GB2312" w:cs="仿宋_GB2312"/>
                <w:color w:val="000000"/>
                <w:sz w:val="16"/>
                <w:szCs w:val="16"/>
                <w:highlight w:val="none"/>
                <w:lang w:eastAsia="zh-CN"/>
              </w:rPr>
              <w:t>行政事业单位医疗</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10.48</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10.48</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0.00</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yellow"/>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2101101</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eastAsia="zh-CN"/>
              </w:rPr>
            </w:pPr>
            <w:r>
              <w:rPr>
                <w:rFonts w:hint="eastAsia" w:ascii="仿宋_GB2312" w:hAnsi="仿宋_GB2312" w:eastAsia="仿宋_GB2312" w:cs="仿宋_GB2312"/>
                <w:color w:val="000000"/>
                <w:kern w:val="0"/>
                <w:sz w:val="16"/>
                <w:szCs w:val="16"/>
                <w:highlight w:val="none"/>
                <w:lang w:eastAsia="zh-CN"/>
              </w:rPr>
              <w:t>行政单位医疗</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10.48</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10.48</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val="en-US" w:eastAsia="zh-CN"/>
              </w:rPr>
            </w:pPr>
            <w:r>
              <w:rPr>
                <w:rFonts w:hint="eastAsia" w:ascii="仿宋_GB2312" w:hAnsi="仿宋_GB2312" w:eastAsia="仿宋_GB2312" w:cs="仿宋_GB2312"/>
                <w:color w:val="000000"/>
                <w:kern w:val="0"/>
                <w:sz w:val="16"/>
                <w:szCs w:val="16"/>
                <w:highlight w:val="none"/>
                <w:lang w:val="en-US" w:eastAsia="zh-CN"/>
              </w:rPr>
              <w:t>0.00</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221</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eastAsia="zh-CN"/>
              </w:rPr>
            </w:pPr>
            <w:r>
              <w:rPr>
                <w:rFonts w:hint="eastAsia" w:ascii="仿宋_GB2312" w:hAnsi="仿宋_GB2312" w:eastAsia="仿宋_GB2312" w:cs="仿宋_GB2312"/>
                <w:color w:val="000000"/>
                <w:kern w:val="0"/>
                <w:sz w:val="16"/>
                <w:szCs w:val="16"/>
                <w:highlight w:val="none"/>
                <w:lang w:eastAsia="zh-CN"/>
              </w:rPr>
              <w:t>住房保障支出</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21.01</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21.01</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0.00</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r>
      <w:tr>
        <w:trPr>
          <w:trHeight w:val="90" w:hRule="atLeast"/>
        </w:trPr>
        <w:tc>
          <w:tcPr>
            <w:tcW w:w="63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22102</w:t>
            </w:r>
          </w:p>
        </w:tc>
        <w:tc>
          <w:tcPr>
            <w:tcW w:w="2198"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highlight w:val="none"/>
                <w:lang w:eastAsia="zh-CN"/>
              </w:rPr>
            </w:pPr>
            <w:r>
              <w:rPr>
                <w:rFonts w:hint="eastAsia" w:ascii="仿宋_GB2312" w:hAnsi="仿宋_GB2312" w:eastAsia="仿宋_GB2312" w:cs="仿宋_GB2312"/>
                <w:color w:val="000000"/>
                <w:kern w:val="0"/>
                <w:sz w:val="16"/>
                <w:szCs w:val="16"/>
                <w:highlight w:val="none"/>
                <w:lang w:eastAsia="zh-CN"/>
              </w:rPr>
              <w:t>住房改革支出</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21.01</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lang w:val="en-US" w:eastAsia="zh-CN"/>
              </w:rPr>
            </w:pPr>
            <w:r>
              <w:rPr>
                <w:rFonts w:hint="eastAsia" w:ascii="仿宋_GB2312" w:hAnsi="仿宋_GB2312" w:eastAsia="仿宋_GB2312" w:cs="仿宋_GB2312"/>
                <w:color w:val="000000"/>
                <w:kern w:val="0"/>
                <w:sz w:val="16"/>
                <w:szCs w:val="16"/>
                <w:lang w:val="en-US" w:eastAsia="zh-CN"/>
              </w:rPr>
              <w:t>21.01</w:t>
            </w: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lang w:val="en-US" w:eastAsia="zh-CN"/>
              </w:rPr>
              <w:t>0.00</w:t>
            </w:r>
          </w:p>
        </w:tc>
        <w:tc>
          <w:tcPr>
            <w:tcW w:w="1036"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c>
          <w:tcPr>
            <w:tcW w:w="1037" w:type="dxa"/>
            <w:gridSpan w:val="2"/>
            <w:tcBorders>
              <w:top w:val="single" w:color="000000" w:sz="4" w:space="0"/>
              <w:left w:val="nil"/>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c>
          <w:tcPr>
            <w:tcW w:w="1036"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c>
          <w:tcPr>
            <w:tcW w:w="1033" w:type="dxa"/>
            <w:gridSpan w:val="2"/>
            <w:tcBorders>
              <w:top w:val="single" w:color="000000" w:sz="4" w:space="0"/>
              <w:left w:val="nil"/>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kern w:val="0"/>
                <w:sz w:val="16"/>
                <w:szCs w:val="16"/>
              </w:rPr>
            </w:pPr>
          </w:p>
        </w:tc>
      </w:tr>
      <w:tr>
        <w:trPr>
          <w:trHeight w:val="90" w:hRule="atLeast"/>
        </w:trPr>
        <w:tc>
          <w:tcPr>
            <w:tcW w:w="630" w:type="dxa"/>
            <w:tcBorders>
              <w:top w:val="single" w:color="000000" w:sz="4" w:space="0"/>
              <w:left w:val="single" w:color="000000" w:sz="12" w:space="0"/>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2210201</w:t>
            </w:r>
          </w:p>
        </w:tc>
        <w:tc>
          <w:tcPr>
            <w:tcW w:w="2198"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sz w:val="16"/>
                <w:szCs w:val="16"/>
                <w:highlight w:val="none"/>
                <w:lang w:eastAsia="zh-CN"/>
              </w:rPr>
              <w:t>住房公积金</w:t>
            </w:r>
          </w:p>
        </w:tc>
        <w:tc>
          <w:tcPr>
            <w:tcW w:w="1037"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kern w:val="0"/>
                <w:sz w:val="16"/>
                <w:szCs w:val="16"/>
                <w:lang w:val="en-US" w:eastAsia="zh-CN"/>
              </w:rPr>
              <w:t>21.01</w:t>
            </w:r>
          </w:p>
        </w:tc>
        <w:tc>
          <w:tcPr>
            <w:tcW w:w="1036"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kern w:val="0"/>
                <w:sz w:val="16"/>
                <w:szCs w:val="16"/>
                <w:lang w:val="en-US" w:eastAsia="zh-CN"/>
              </w:rPr>
              <w:t>21.01</w:t>
            </w:r>
          </w:p>
        </w:tc>
        <w:tc>
          <w:tcPr>
            <w:tcW w:w="1037"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0.00</w:t>
            </w:r>
          </w:p>
        </w:tc>
        <w:tc>
          <w:tcPr>
            <w:tcW w:w="1036"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7" w:type="dxa"/>
            <w:gridSpan w:val="2"/>
            <w:tcBorders>
              <w:top w:val="single" w:color="000000" w:sz="4" w:space="0"/>
              <w:left w:val="nil"/>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6" w:type="dxa"/>
            <w:gridSpan w:val="2"/>
            <w:tcBorders>
              <w:top w:val="single" w:color="000000" w:sz="4" w:space="0"/>
              <w:left w:val="nil"/>
              <w:bottom w:val="single" w:color="000000" w:sz="12"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1033" w:type="dxa"/>
            <w:gridSpan w:val="2"/>
            <w:tcBorders>
              <w:top w:val="single" w:color="000000" w:sz="4" w:space="0"/>
              <w:left w:val="nil"/>
              <w:bottom w:val="single" w:color="000000" w:sz="12"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r>
      <w:tr>
        <w:trPr>
          <w:gridAfter w:val="1"/>
          <w:wAfter w:w="2" w:type="dxa"/>
          <w:trHeight w:val="90" w:hRule="atLeast"/>
        </w:trPr>
        <w:tc>
          <w:tcPr>
            <w:tcW w:w="9046" w:type="dxa"/>
            <w:gridSpan w:val="14"/>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注：本表反映部门本年度各项支出情况。</w:t>
            </w:r>
          </w:p>
        </w:tc>
        <w:tc>
          <w:tcPr>
            <w:tcW w:w="1032" w:type="dxa"/>
            <w:gridSpan w:val="2"/>
            <w:vAlign w:val="center"/>
          </w:tcPr>
          <w:p>
            <w:pPr>
              <w:widowControl/>
              <w:spacing w:line="567" w:lineRule="exact"/>
              <w:jc w:val="center"/>
              <w:textAlignment w:val="center"/>
              <w:rPr>
                <w:rFonts w:hint="eastAsia" w:ascii="仿宋_GB2312" w:hAnsi="仿宋_GB2312" w:eastAsia="仿宋_GB2312" w:cs="仿宋_GB2312"/>
                <w:color w:val="000000"/>
                <w:kern w:val="0"/>
                <w:sz w:val="16"/>
                <w:szCs w:val="16"/>
              </w:rPr>
            </w:pPr>
          </w:p>
        </w:tc>
      </w:tr>
    </w:tbl>
    <w:p>
      <w:pPr>
        <w:widowControl/>
        <w:spacing w:line="567" w:lineRule="exact"/>
        <w:jc w:val="center"/>
        <w:rPr>
          <w:rFonts w:hint="eastAsia" w:ascii="仿宋_GB2312" w:hAnsi="仿宋_GB2312" w:eastAsia="仿宋_GB2312" w:cs="仿宋_GB2312"/>
          <w:color w:val="000000"/>
          <w:kern w:val="0"/>
          <w:sz w:val="28"/>
          <w:szCs w:val="28"/>
        </w:rPr>
        <w:sectPr>
          <w:type w:val="continuous"/>
          <w:pgSz w:w="11906" w:h="16838"/>
          <w:pgMar w:top="1984" w:right="1418" w:bottom="1701" w:left="1531" w:header="720" w:footer="720" w:gutter="0"/>
          <w:cols w:space="720" w:num="1"/>
          <w:rtlGutter w:val="0"/>
          <w:docGrid w:type="lines" w:linePitch="312"/>
        </w:sectPr>
      </w:pPr>
    </w:p>
    <w:tbl>
      <w:tblPr>
        <w:tblW w:w="10365" w:type="dxa"/>
        <w:tblInd w:w="-9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0"/>
        <w:gridCol w:w="278"/>
        <w:gridCol w:w="122"/>
        <w:gridCol w:w="193"/>
        <w:gridCol w:w="1102"/>
        <w:gridCol w:w="1746"/>
        <w:gridCol w:w="316"/>
        <w:gridCol w:w="203"/>
        <w:gridCol w:w="406"/>
        <w:gridCol w:w="390"/>
        <w:gridCol w:w="824"/>
        <w:gridCol w:w="175"/>
        <w:gridCol w:w="1120"/>
        <w:gridCol w:w="1300"/>
      </w:tblGrid>
      <w:tr>
        <w:trPr>
          <w:trHeight w:val="375" w:hRule="atLeast"/>
        </w:trPr>
        <w:tc>
          <w:tcPr>
            <w:tcW w:w="10365" w:type="dxa"/>
            <w:gridSpan w:val="14"/>
            <w:vAlign w:val="bottom"/>
          </w:tcPr>
          <w:p>
            <w:pPr>
              <w:widowControl/>
              <w:spacing w:line="567" w:lineRule="exact"/>
              <w:jc w:val="center"/>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财政拨款收入支出决算表</w:t>
            </w:r>
          </w:p>
        </w:tc>
      </w:tr>
      <w:tr>
        <w:trPr>
          <w:trHeight w:val="285" w:hRule="atLeast"/>
        </w:trPr>
        <w:tc>
          <w:tcPr>
            <w:tcW w:w="2468"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315"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1102" w:type="dxa"/>
            <w:vAlign w:val="center"/>
          </w:tcPr>
          <w:p>
            <w:pPr>
              <w:spacing w:line="567" w:lineRule="exact"/>
              <w:jc w:val="center"/>
              <w:rPr>
                <w:rFonts w:hint="eastAsia" w:ascii="仿宋_GB2312" w:hAnsi="仿宋_GB2312" w:eastAsia="仿宋_GB2312" w:cs="仿宋_GB2312"/>
                <w:color w:val="000000"/>
                <w:sz w:val="16"/>
                <w:szCs w:val="16"/>
              </w:rPr>
            </w:pPr>
          </w:p>
        </w:tc>
        <w:tc>
          <w:tcPr>
            <w:tcW w:w="1746" w:type="dxa"/>
            <w:vAlign w:val="center"/>
          </w:tcPr>
          <w:p>
            <w:pPr>
              <w:spacing w:line="567" w:lineRule="exact"/>
              <w:jc w:val="center"/>
              <w:rPr>
                <w:rFonts w:hint="eastAsia" w:ascii="仿宋_GB2312" w:hAnsi="仿宋_GB2312" w:eastAsia="仿宋_GB2312" w:cs="仿宋_GB2312"/>
                <w:color w:val="000000"/>
                <w:sz w:val="16"/>
                <w:szCs w:val="16"/>
              </w:rPr>
            </w:pPr>
          </w:p>
        </w:tc>
        <w:tc>
          <w:tcPr>
            <w:tcW w:w="316" w:type="dxa"/>
            <w:vAlign w:val="center"/>
          </w:tcPr>
          <w:p>
            <w:pPr>
              <w:spacing w:line="567" w:lineRule="exact"/>
              <w:jc w:val="center"/>
              <w:rPr>
                <w:rFonts w:hint="eastAsia" w:ascii="仿宋_GB2312" w:hAnsi="仿宋_GB2312" w:eastAsia="仿宋_GB2312" w:cs="仿宋_GB2312"/>
                <w:color w:val="000000"/>
                <w:sz w:val="16"/>
                <w:szCs w:val="16"/>
              </w:rPr>
            </w:pPr>
          </w:p>
        </w:tc>
        <w:tc>
          <w:tcPr>
            <w:tcW w:w="999" w:type="dxa"/>
            <w:gridSpan w:val="3"/>
            <w:vAlign w:val="center"/>
          </w:tcPr>
          <w:p>
            <w:pPr>
              <w:spacing w:line="567" w:lineRule="exact"/>
              <w:jc w:val="center"/>
              <w:rPr>
                <w:rFonts w:hint="eastAsia" w:ascii="仿宋_GB2312" w:hAnsi="仿宋_GB2312" w:eastAsia="仿宋_GB2312" w:cs="仿宋_GB2312"/>
                <w:color w:val="000000"/>
                <w:sz w:val="16"/>
                <w:szCs w:val="16"/>
              </w:rPr>
            </w:pPr>
          </w:p>
        </w:tc>
        <w:tc>
          <w:tcPr>
            <w:tcW w:w="999"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2420" w:type="dxa"/>
            <w:gridSpan w:val="2"/>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公开04表</w:t>
            </w:r>
          </w:p>
        </w:tc>
      </w:tr>
      <w:tr>
        <w:trPr>
          <w:trHeight w:val="285" w:hRule="atLeast"/>
        </w:trPr>
        <w:tc>
          <w:tcPr>
            <w:tcW w:w="2468" w:type="dxa"/>
            <w:gridSpan w:val="2"/>
            <w:vAlign w:val="center"/>
          </w:tcPr>
          <w:p>
            <w:pPr>
              <w:spacing w:line="567" w:lineRule="exact"/>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部门：</w:t>
            </w:r>
          </w:p>
        </w:tc>
        <w:tc>
          <w:tcPr>
            <w:tcW w:w="315" w:type="dxa"/>
            <w:gridSpan w:val="2"/>
            <w:tcBorders>
              <w:bottom w:val="single" w:color="000000" w:sz="12"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102" w:type="dxa"/>
            <w:tcBorders>
              <w:bottom w:val="single" w:color="000000" w:sz="12" w:space="0"/>
            </w:tcBorders>
            <w:vAlign w:val="center"/>
          </w:tcPr>
          <w:p>
            <w:pPr>
              <w:spacing w:line="567" w:lineRule="exact"/>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郑州市工商联</w:t>
            </w:r>
          </w:p>
        </w:tc>
        <w:tc>
          <w:tcPr>
            <w:tcW w:w="1746" w:type="dxa"/>
            <w:vAlign w:val="center"/>
          </w:tcPr>
          <w:p>
            <w:pPr>
              <w:spacing w:line="567" w:lineRule="exact"/>
              <w:jc w:val="center"/>
              <w:rPr>
                <w:rFonts w:hint="eastAsia" w:ascii="仿宋_GB2312" w:hAnsi="仿宋_GB2312" w:eastAsia="仿宋_GB2312" w:cs="仿宋_GB2312"/>
                <w:color w:val="000000"/>
                <w:sz w:val="16"/>
                <w:szCs w:val="16"/>
              </w:rPr>
            </w:pPr>
          </w:p>
        </w:tc>
        <w:tc>
          <w:tcPr>
            <w:tcW w:w="316" w:type="dxa"/>
            <w:tcBorders>
              <w:bottom w:val="single" w:color="000000" w:sz="12"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999" w:type="dxa"/>
            <w:gridSpan w:val="3"/>
            <w:tcBorders>
              <w:bottom w:val="single" w:color="000000" w:sz="12"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999" w:type="dxa"/>
            <w:gridSpan w:val="2"/>
            <w:tcBorders>
              <w:bottom w:val="single" w:color="000000" w:sz="12"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420" w:type="dxa"/>
            <w:gridSpan w:val="2"/>
            <w:tcBorders>
              <w:bottom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金额单位：万元</w:t>
            </w:r>
          </w:p>
        </w:tc>
      </w:tr>
      <w:tr>
        <w:trPr>
          <w:trHeight w:val="285" w:hRule="atLeast"/>
        </w:trPr>
        <w:tc>
          <w:tcPr>
            <w:tcW w:w="3885" w:type="dxa"/>
            <w:gridSpan w:val="5"/>
            <w:tcBorders>
              <w:top w:val="single" w:color="000000" w:sz="12"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收  入</w:t>
            </w:r>
          </w:p>
        </w:tc>
        <w:tc>
          <w:tcPr>
            <w:tcW w:w="6480" w:type="dxa"/>
            <w:gridSpan w:val="9"/>
            <w:tcBorders>
              <w:top w:val="single" w:color="000000" w:sz="12"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支  出</w:t>
            </w:r>
          </w:p>
        </w:tc>
      </w:tr>
      <w:tr>
        <w:trPr>
          <w:trHeight w:val="480"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项  目</w:t>
            </w: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行次</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金额</w:t>
            </w: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项  目</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行次</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合计</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一般公共预算财政拨款</w:t>
            </w: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政府性基金预算财政拨款</w:t>
            </w: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栏  次</w:t>
            </w:r>
          </w:p>
        </w:tc>
        <w:tc>
          <w:tcPr>
            <w:tcW w:w="400" w:type="dxa"/>
            <w:gridSpan w:val="2"/>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bCs/>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1</w:t>
            </w: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栏    次</w:t>
            </w:r>
          </w:p>
        </w:tc>
        <w:tc>
          <w:tcPr>
            <w:tcW w:w="406" w:type="dxa"/>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bCs/>
                <w:color w:val="000000"/>
                <w:sz w:val="16"/>
                <w:szCs w:val="16"/>
              </w:rPr>
            </w:pP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2</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3</w:t>
            </w: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4</w:t>
            </w: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一、一般公共预算财政拨款</w:t>
            </w: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512.99</w:t>
            </w: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一、一般公共服务支出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434.23</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434.23</w:t>
            </w: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二、政府性基金预算财政拨款</w:t>
            </w: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0.00</w:t>
            </w: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二、外交支出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32</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三、国防支出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33</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四、公共安全支出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34</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五、教育支出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35</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6</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六、科学技术支出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36</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7</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七、文化体育与传媒支出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37</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8</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八、社会保障和就业支出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38</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47.28</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47.28</w:t>
            </w: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9</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九、医疗卫生与计划生育支出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39</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10.48</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10.48</w:t>
            </w: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10</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十、节能环保支出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40</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11</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十一、城乡社区支出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41</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12</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十二、农林水支出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42</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13</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十三、交通运输支出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43</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14</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十四、资源勘探信息等支出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44</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15</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十五、商业服务业等支出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45</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16</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十六、金融支出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46</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17</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十七、援助其他地区支出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47</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18</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十八、国土海洋气象等支出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48</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19</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十九、住房保障支出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49</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21.01</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21.01</w:t>
            </w: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20</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二十、粮油物资储备支出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50</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21</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二十一、其他支出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51</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22</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二十二、债务还本支出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52</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23</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二十三、债务付息支出</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53</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24</w:t>
            </w:r>
          </w:p>
        </w:tc>
        <w:tc>
          <w:tcPr>
            <w:tcW w:w="1295" w:type="dxa"/>
            <w:gridSpan w:val="2"/>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54</w:t>
            </w:r>
          </w:p>
        </w:tc>
        <w:tc>
          <w:tcPr>
            <w:tcW w:w="1214" w:type="dxa"/>
            <w:gridSpan w:val="2"/>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spacing w:line="567" w:lineRule="exact"/>
              <w:jc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本年收入合计</w:t>
            </w: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25</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512.99</w:t>
            </w: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本年支出合计</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55</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512.99</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512.99</w:t>
            </w: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年初财政拨款结转和结余</w:t>
            </w: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26</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年末财政拨款结转和结余</w:t>
            </w: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56</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0.00</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0.00</w:t>
            </w: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一般公共预算财政拨款</w:t>
            </w: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27</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57</w:t>
            </w:r>
          </w:p>
        </w:tc>
        <w:tc>
          <w:tcPr>
            <w:tcW w:w="1214" w:type="dxa"/>
            <w:gridSpan w:val="2"/>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spacing w:line="567" w:lineRule="exact"/>
              <w:jc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政府性基金预算财政拨款</w:t>
            </w: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28</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58</w:t>
            </w:r>
          </w:p>
        </w:tc>
        <w:tc>
          <w:tcPr>
            <w:tcW w:w="1214" w:type="dxa"/>
            <w:gridSpan w:val="2"/>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spacing w:line="567" w:lineRule="exact"/>
              <w:jc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29</w:t>
            </w: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406" w:type="dxa"/>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59</w:t>
            </w:r>
          </w:p>
        </w:tc>
        <w:tc>
          <w:tcPr>
            <w:tcW w:w="1214"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2190" w:type="dxa"/>
            <w:tcBorders>
              <w:top w:val="single" w:color="000000" w:sz="4" w:space="0"/>
              <w:left w:val="single" w:color="000000" w:sz="12" w:space="0"/>
              <w:bottom w:val="single" w:color="000000" w:sz="12"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总计</w:t>
            </w:r>
          </w:p>
        </w:tc>
        <w:tc>
          <w:tcPr>
            <w:tcW w:w="400" w:type="dxa"/>
            <w:gridSpan w:val="2"/>
            <w:tcBorders>
              <w:top w:val="single" w:color="000000" w:sz="4" w:space="0"/>
              <w:left w:val="nil"/>
              <w:bottom w:val="single" w:color="000000" w:sz="12"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30</w:t>
            </w:r>
          </w:p>
        </w:tc>
        <w:tc>
          <w:tcPr>
            <w:tcW w:w="1295" w:type="dxa"/>
            <w:gridSpan w:val="2"/>
            <w:tcBorders>
              <w:top w:val="single" w:color="000000" w:sz="4" w:space="0"/>
              <w:left w:val="nil"/>
              <w:bottom w:val="single" w:color="000000" w:sz="12"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512.99</w:t>
            </w:r>
          </w:p>
        </w:tc>
        <w:tc>
          <w:tcPr>
            <w:tcW w:w="2265" w:type="dxa"/>
            <w:gridSpan w:val="3"/>
            <w:tcBorders>
              <w:top w:val="single" w:color="000000" w:sz="4" w:space="0"/>
              <w:left w:val="nil"/>
              <w:bottom w:val="single" w:color="000000" w:sz="12"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总计</w:t>
            </w:r>
          </w:p>
        </w:tc>
        <w:tc>
          <w:tcPr>
            <w:tcW w:w="406" w:type="dxa"/>
            <w:tcBorders>
              <w:top w:val="single" w:color="000000" w:sz="4" w:space="0"/>
              <w:left w:val="nil"/>
              <w:bottom w:val="single" w:color="000000" w:sz="12"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kern w:val="0"/>
                <w:sz w:val="16"/>
                <w:szCs w:val="16"/>
              </w:rPr>
              <w:t>60</w:t>
            </w:r>
          </w:p>
        </w:tc>
        <w:tc>
          <w:tcPr>
            <w:tcW w:w="1214" w:type="dxa"/>
            <w:gridSpan w:val="2"/>
            <w:tcBorders>
              <w:top w:val="single" w:color="000000" w:sz="4" w:space="0"/>
              <w:left w:val="nil"/>
              <w:bottom w:val="single" w:color="000000" w:sz="12"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sz w:val="16"/>
                <w:szCs w:val="16"/>
                <w:lang w:val="en-US" w:eastAsia="zh-CN"/>
              </w:rPr>
              <w:t>512.99</w:t>
            </w:r>
          </w:p>
        </w:tc>
        <w:tc>
          <w:tcPr>
            <w:tcW w:w="1295" w:type="dxa"/>
            <w:gridSpan w:val="2"/>
            <w:tcBorders>
              <w:top w:val="single" w:color="000000" w:sz="4" w:space="0"/>
              <w:left w:val="nil"/>
              <w:bottom w:val="single" w:color="000000" w:sz="12"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rPr>
            </w:pPr>
            <w:r>
              <w:rPr>
                <w:rFonts w:hint="eastAsia" w:ascii="仿宋_GB2312" w:hAnsi="仿宋_GB2312" w:eastAsia="仿宋_GB2312" w:cs="仿宋_GB2312"/>
                <w:b/>
                <w:bCs/>
                <w:color w:val="000000"/>
                <w:sz w:val="16"/>
                <w:szCs w:val="16"/>
                <w:lang w:val="en-US" w:eastAsia="zh-CN"/>
              </w:rPr>
              <w:t>512.99</w:t>
            </w:r>
          </w:p>
        </w:tc>
        <w:tc>
          <w:tcPr>
            <w:tcW w:w="1300" w:type="dxa"/>
            <w:tcBorders>
              <w:top w:val="single" w:color="000000" w:sz="4" w:space="0"/>
              <w:left w:val="nil"/>
              <w:bottom w:val="single" w:color="000000" w:sz="12"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bCs/>
                <w:color w:val="000000"/>
                <w:sz w:val="16"/>
                <w:szCs w:val="16"/>
                <w:lang w:val="en-US" w:eastAsia="zh-CN"/>
              </w:rPr>
            </w:pPr>
            <w:r>
              <w:rPr>
                <w:rFonts w:hint="eastAsia" w:ascii="仿宋_GB2312" w:hAnsi="仿宋_GB2312" w:eastAsia="仿宋_GB2312" w:cs="仿宋_GB2312"/>
                <w:b/>
                <w:bCs/>
                <w:color w:val="000000"/>
                <w:sz w:val="16"/>
                <w:szCs w:val="16"/>
                <w:lang w:val="en-US" w:eastAsia="zh-CN"/>
              </w:rPr>
              <w:t>0.00</w:t>
            </w:r>
          </w:p>
        </w:tc>
      </w:tr>
      <w:tr>
        <w:trPr>
          <w:trHeight w:val="495" w:hRule="atLeast"/>
        </w:trPr>
        <w:tc>
          <w:tcPr>
            <w:tcW w:w="10365" w:type="dxa"/>
            <w:gridSpan w:val="14"/>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注：本表反映部门本年度一般公共预算财政拨款和政府性基金预算财政拨款的总收支和年末结转结余情况。</w:t>
            </w:r>
          </w:p>
        </w:tc>
      </w:tr>
    </w:tbl>
    <w:p>
      <w:pPr>
        <w:widowControl/>
        <w:spacing w:line="567" w:lineRule="exact"/>
        <w:jc w:val="center"/>
        <w:rPr>
          <w:rFonts w:hint="eastAsia" w:ascii="仿宋_GB2312" w:hAnsi="仿宋_GB2312" w:eastAsia="仿宋_GB2312" w:cs="仿宋_GB2312"/>
          <w:color w:val="000000"/>
          <w:kern w:val="0"/>
          <w:sz w:val="28"/>
          <w:szCs w:val="28"/>
        </w:rPr>
        <w:sectPr>
          <w:type w:val="continuous"/>
          <w:pgSz w:w="11906" w:h="16838"/>
          <w:pgMar w:top="2211" w:right="1418" w:bottom="1871" w:left="1531" w:header="720" w:footer="720" w:gutter="0"/>
          <w:cols w:space="720" w:num="1"/>
          <w:docGrid w:type="lines" w:linePitch="312"/>
        </w:sectPr>
      </w:pPr>
    </w:p>
    <w:tbl>
      <w:tblPr>
        <w:tblpPr w:leftFromText="180" w:rightFromText="180" w:vertAnchor="page" w:horzAnchor="page" w:tblpX="439" w:tblpY="13058"/>
        <w:tblOverlap w:val="never"/>
        <w:tblW w:w="103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80"/>
        <w:gridCol w:w="675"/>
        <w:gridCol w:w="1800"/>
        <w:gridCol w:w="2160"/>
        <w:gridCol w:w="165"/>
        <w:gridCol w:w="1575"/>
        <w:gridCol w:w="420"/>
        <w:gridCol w:w="2160"/>
      </w:tblGrid>
      <w:tr>
        <w:trPr>
          <w:trHeight w:val="375" w:hRule="atLeast"/>
        </w:trPr>
        <w:tc>
          <w:tcPr>
            <w:tcW w:w="10335" w:type="dxa"/>
            <w:gridSpan w:val="8"/>
            <w:vAlign w:val="bottom"/>
          </w:tcPr>
          <w:p>
            <w:pPr>
              <w:widowControl/>
              <w:wordWrap/>
              <w:adjustRightInd/>
              <w:snapToGrid/>
              <w:spacing w:line="440" w:lineRule="exact"/>
              <w:jc w:val="center"/>
              <w:textAlignment w:val="bottom"/>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一般公共预算财政拨款支出决算表</w:t>
            </w:r>
          </w:p>
        </w:tc>
      </w:tr>
      <w:tr>
        <w:trPr>
          <w:trHeight w:val="285" w:hRule="atLeast"/>
        </w:trPr>
        <w:tc>
          <w:tcPr>
            <w:tcW w:w="2055"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800" w:type="dxa"/>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325"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575" w:type="dxa"/>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580" w:type="dxa"/>
            <w:gridSpan w:val="2"/>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公开05表</w:t>
            </w:r>
          </w:p>
        </w:tc>
      </w:tr>
      <w:tr>
        <w:trPr>
          <w:trHeight w:val="270" w:hRule="atLeast"/>
        </w:trPr>
        <w:tc>
          <w:tcPr>
            <w:tcW w:w="2055"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部门：</w:t>
            </w:r>
          </w:p>
        </w:tc>
        <w:tc>
          <w:tcPr>
            <w:tcW w:w="1800" w:type="dxa"/>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郑州市工商联</w:t>
            </w:r>
          </w:p>
        </w:tc>
        <w:tc>
          <w:tcPr>
            <w:tcW w:w="2325" w:type="dxa"/>
            <w:gridSpan w:val="2"/>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1575" w:type="dxa"/>
            <w:vAlign w:val="center"/>
          </w:tcPr>
          <w:p>
            <w:pPr>
              <w:widowControl/>
              <w:wordWrap/>
              <w:adjustRightInd/>
              <w:snapToGrid/>
              <w:spacing w:line="440" w:lineRule="exact"/>
              <w:jc w:val="center"/>
              <w:outlineLvl w:val="9"/>
              <w:rPr>
                <w:rFonts w:hint="eastAsia" w:ascii="仿宋_GB2312" w:hAnsi="仿宋_GB2312" w:eastAsia="仿宋_GB2312" w:cs="仿宋_GB2312"/>
                <w:color w:val="000000"/>
                <w:sz w:val="16"/>
                <w:szCs w:val="16"/>
              </w:rPr>
            </w:pPr>
          </w:p>
        </w:tc>
        <w:tc>
          <w:tcPr>
            <w:tcW w:w="2580" w:type="dxa"/>
            <w:gridSpan w:val="2"/>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金额单位：万元</w:t>
            </w:r>
          </w:p>
        </w:tc>
      </w:tr>
      <w:tr>
        <w:trPr>
          <w:trHeight w:val="300" w:hRule="atLeast"/>
        </w:trPr>
        <w:tc>
          <w:tcPr>
            <w:tcW w:w="3855" w:type="dxa"/>
            <w:gridSpan w:val="3"/>
            <w:tcBorders>
              <w:top w:val="single" w:color="000000" w:sz="12"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项目</w:t>
            </w:r>
          </w:p>
        </w:tc>
        <w:tc>
          <w:tcPr>
            <w:tcW w:w="2160" w:type="dxa"/>
            <w:vMerge w:val="restart"/>
            <w:tcBorders>
              <w:top w:val="single" w:color="000000" w:sz="12"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本年支出合计</w:t>
            </w:r>
          </w:p>
        </w:tc>
        <w:tc>
          <w:tcPr>
            <w:tcW w:w="2160" w:type="dxa"/>
            <w:gridSpan w:val="3"/>
            <w:vMerge w:val="restart"/>
            <w:tcBorders>
              <w:top w:val="single" w:color="000000" w:sz="12"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基本支出</w:t>
            </w:r>
          </w:p>
        </w:tc>
        <w:tc>
          <w:tcPr>
            <w:tcW w:w="2160" w:type="dxa"/>
            <w:vMerge w:val="restart"/>
            <w:tcBorders>
              <w:top w:val="single" w:color="000000" w:sz="12"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项目支出</w:t>
            </w:r>
          </w:p>
        </w:tc>
      </w:tr>
      <w:tr>
        <w:trPr>
          <w:trHeight w:val="6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功能分类</w:t>
            </w:r>
            <w:r>
              <w:rPr>
                <w:rFonts w:hint="eastAsia" w:ascii="仿宋_GB2312" w:hAnsi="仿宋_GB2312" w:eastAsia="仿宋_GB2312" w:cs="仿宋_GB2312"/>
                <w:b/>
                <w:color w:val="000000"/>
                <w:kern w:val="0"/>
                <w:sz w:val="16"/>
                <w:szCs w:val="16"/>
              </w:rPr>
              <w:br/>
            </w:r>
            <w:r>
              <w:rPr>
                <w:rFonts w:hint="eastAsia" w:ascii="仿宋_GB2312" w:hAnsi="仿宋_GB2312" w:eastAsia="仿宋_GB2312" w:cs="仿宋_GB2312"/>
                <w:b/>
                <w:color w:val="000000"/>
                <w:kern w:val="0"/>
                <w:sz w:val="16"/>
                <w:szCs w:val="16"/>
              </w:rPr>
              <w:t>科目编码</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科目名称</w:t>
            </w:r>
          </w:p>
        </w:tc>
        <w:tc>
          <w:tcPr>
            <w:tcW w:w="2160" w:type="dxa"/>
            <w:vMerge w:val="continue"/>
            <w:tcBorders>
              <w:top w:val="single" w:color="000000" w:sz="12"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color w:val="000000"/>
                <w:sz w:val="16"/>
                <w:szCs w:val="16"/>
              </w:rPr>
            </w:pPr>
          </w:p>
        </w:tc>
        <w:tc>
          <w:tcPr>
            <w:tcW w:w="2160" w:type="dxa"/>
            <w:gridSpan w:val="3"/>
            <w:vMerge w:val="continue"/>
            <w:tcBorders>
              <w:top w:val="single" w:color="000000" w:sz="12"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color w:val="000000"/>
                <w:sz w:val="16"/>
                <w:szCs w:val="16"/>
              </w:rPr>
            </w:pPr>
          </w:p>
        </w:tc>
        <w:tc>
          <w:tcPr>
            <w:tcW w:w="2160" w:type="dxa"/>
            <w:vMerge w:val="continue"/>
            <w:tcBorders>
              <w:top w:val="single" w:color="000000" w:sz="12"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outlineLvl w:val="9"/>
              <w:rPr>
                <w:rFonts w:hint="eastAsia" w:ascii="仿宋_GB2312" w:hAnsi="仿宋_GB2312" w:eastAsia="仿宋_GB2312" w:cs="仿宋_GB2312"/>
                <w:b/>
                <w:color w:val="000000"/>
                <w:sz w:val="16"/>
                <w:szCs w:val="16"/>
              </w:rPr>
            </w:pPr>
          </w:p>
        </w:tc>
      </w:tr>
      <w:tr>
        <w:trPr>
          <w:trHeight w:val="300" w:hRule="atLeast"/>
        </w:trPr>
        <w:tc>
          <w:tcPr>
            <w:tcW w:w="3855" w:type="dxa"/>
            <w:gridSpan w:val="3"/>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栏次</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1</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2</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3</w:t>
            </w:r>
          </w:p>
        </w:tc>
      </w:tr>
      <w:tr>
        <w:trPr>
          <w:trHeight w:val="300" w:hRule="atLeast"/>
        </w:trPr>
        <w:tc>
          <w:tcPr>
            <w:tcW w:w="3855" w:type="dxa"/>
            <w:gridSpan w:val="3"/>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合计</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512.99</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455.50</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57.49</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201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一般公共服务支出</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434.23</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376.73</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57.49</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201</w:t>
            </w:r>
            <w:r>
              <w:rPr>
                <w:rFonts w:hint="eastAsia" w:ascii="仿宋_GB2312" w:hAnsi="仿宋_GB2312" w:eastAsia="仿宋_GB2312" w:cs="仿宋_GB2312"/>
                <w:color w:val="000000"/>
                <w:kern w:val="0"/>
                <w:sz w:val="16"/>
                <w:szCs w:val="16"/>
                <w:lang w:val="en-US" w:eastAsia="zh-CN"/>
              </w:rPr>
              <w:t>28</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highlight w:val="none"/>
                <w:lang w:eastAsia="zh-CN"/>
              </w:rPr>
              <w:t>民主党派及工商联事务</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434.23</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376.73</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57.49</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2012801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highlight w:val="none"/>
              </w:rPr>
              <w:t>行政运行</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374.26</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374.26</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0.00</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2012802</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highlight w:val="none"/>
              </w:rPr>
              <w:t>一般行政管理事务</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57.49</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0.00</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57.49</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2012850</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kern w:val="0"/>
                <w:sz w:val="16"/>
                <w:szCs w:val="16"/>
                <w:highlight w:val="none"/>
                <w:lang w:eastAsia="zh-CN"/>
              </w:rPr>
              <w:t>事业运行</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sz w:val="16"/>
                <w:szCs w:val="16"/>
                <w:highlight w:val="none"/>
                <w:lang w:val="en-US" w:eastAsia="zh-CN"/>
              </w:rPr>
              <w:t>2.48</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sz w:val="16"/>
                <w:szCs w:val="16"/>
                <w:highlight w:val="none"/>
                <w:lang w:val="en-US" w:eastAsia="zh-CN"/>
              </w:rPr>
              <w:t>2.48</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sz w:val="16"/>
                <w:szCs w:val="16"/>
                <w:highlight w:val="none"/>
                <w:lang w:val="en-US" w:eastAsia="zh-CN"/>
              </w:rPr>
              <w:t>0.00</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208</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sz w:val="16"/>
                <w:szCs w:val="16"/>
                <w:highlight w:val="none"/>
                <w:lang w:eastAsia="zh-CN"/>
              </w:rPr>
              <w:t>社会保障和就业支出</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47.28</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47.28</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0.00</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20805</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sz w:val="16"/>
                <w:szCs w:val="16"/>
                <w:highlight w:val="none"/>
                <w:lang w:eastAsia="zh-CN"/>
              </w:rPr>
              <w:t>行政事业单位离退休</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47.28</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47.28</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0.00</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2080501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kern w:val="0"/>
                <w:sz w:val="16"/>
                <w:szCs w:val="16"/>
                <w:highlight w:val="none"/>
                <w:lang w:eastAsia="zh-CN"/>
              </w:rPr>
              <w:t>归口管理的行政单位离退休</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21.17</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21.17</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0.00</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2080505</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kern w:val="0"/>
                <w:sz w:val="16"/>
                <w:szCs w:val="16"/>
                <w:highlight w:val="none"/>
                <w:lang w:eastAsia="zh-CN"/>
              </w:rPr>
              <w:t>机关事业单位基本养老保险缴费支出</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26.11</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26.11</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0.00</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210</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kern w:val="0"/>
                <w:sz w:val="16"/>
                <w:szCs w:val="16"/>
                <w:highlight w:val="none"/>
                <w:lang w:eastAsia="zh-CN"/>
              </w:rPr>
              <w:t>医疗卫生与计划生育支出</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10.48</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10.48</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sz w:val="16"/>
                <w:szCs w:val="16"/>
                <w:highlight w:val="none"/>
                <w:lang w:val="en-US" w:eastAsia="zh-CN"/>
              </w:rPr>
              <w:t>0.00</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21011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sz w:val="16"/>
                <w:szCs w:val="16"/>
                <w:highlight w:val="none"/>
                <w:lang w:eastAsia="zh-CN"/>
              </w:rPr>
              <w:t>行政事业单位医疗</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10.48</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10.48</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0.00</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2101101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yellow"/>
              </w:rPr>
            </w:pPr>
            <w:r>
              <w:rPr>
                <w:rFonts w:hint="eastAsia" w:ascii="仿宋_GB2312" w:hAnsi="仿宋_GB2312" w:eastAsia="仿宋_GB2312" w:cs="仿宋_GB2312"/>
                <w:color w:val="000000"/>
                <w:kern w:val="0"/>
                <w:sz w:val="16"/>
                <w:szCs w:val="16"/>
                <w:highlight w:val="none"/>
                <w:lang w:eastAsia="zh-CN"/>
              </w:rPr>
              <w:t>行政单位医疗</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10.48</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10.48</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0.00</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221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highlight w:val="none"/>
                <w:lang w:eastAsia="zh-CN"/>
              </w:rPr>
              <w:t>住房保障支出</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21.01</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21.01</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0.00</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lang w:val="en-US" w:eastAsia="zh-CN"/>
              </w:rPr>
              <w:t>22102</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highlight w:val="none"/>
                <w:lang w:eastAsia="zh-CN"/>
              </w:rPr>
              <w:t>住房改革支出</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21.01</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21.01</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0.00</w:t>
            </w:r>
          </w:p>
        </w:tc>
      </w:tr>
      <w:tr>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2210201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highlight w:val="none"/>
                <w:lang w:eastAsia="zh-CN"/>
              </w:rPr>
              <w:t>住房公积金</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21.01</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21.01</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r>
              <w:rPr>
                <w:rFonts w:hint="eastAsia" w:ascii="仿宋_GB2312" w:hAnsi="仿宋_GB2312" w:eastAsia="仿宋_GB2312" w:cs="仿宋_GB2312"/>
                <w:color w:val="000000"/>
                <w:kern w:val="0"/>
                <w:sz w:val="16"/>
                <w:szCs w:val="16"/>
                <w:highlight w:val="none"/>
                <w:lang w:val="en-US" w:eastAsia="zh-CN"/>
              </w:rPr>
              <w:t>0.00</w:t>
            </w:r>
          </w:p>
        </w:tc>
      </w:tr>
      <w:tr>
        <w:trPr>
          <w:trHeight w:val="300" w:hRule="atLeast"/>
        </w:trPr>
        <w:tc>
          <w:tcPr>
            <w:tcW w:w="1380" w:type="dxa"/>
            <w:tcBorders>
              <w:top w:val="single" w:color="000000" w:sz="4" w:space="0"/>
              <w:left w:val="single" w:color="000000" w:sz="12" w:space="0"/>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w:t>
            </w:r>
          </w:p>
        </w:tc>
        <w:tc>
          <w:tcPr>
            <w:tcW w:w="2475" w:type="dxa"/>
            <w:gridSpan w:val="2"/>
            <w:tcBorders>
              <w:top w:val="single" w:color="000000" w:sz="4" w:space="0"/>
              <w:left w:val="single" w:color="000000" w:sz="4" w:space="0"/>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p>
        </w:tc>
        <w:tc>
          <w:tcPr>
            <w:tcW w:w="2160" w:type="dxa"/>
            <w:tcBorders>
              <w:top w:val="single" w:color="000000" w:sz="4" w:space="0"/>
              <w:left w:val="single" w:color="000000" w:sz="4" w:space="0"/>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p>
        </w:tc>
        <w:tc>
          <w:tcPr>
            <w:tcW w:w="2160" w:type="dxa"/>
            <w:gridSpan w:val="3"/>
            <w:tcBorders>
              <w:top w:val="single" w:color="000000" w:sz="4" w:space="0"/>
              <w:left w:val="single" w:color="000000" w:sz="4" w:space="0"/>
              <w:bottom w:val="single" w:color="000000" w:sz="12" w:space="0"/>
              <w:right w:val="single" w:color="000000" w:sz="4"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p>
        </w:tc>
        <w:tc>
          <w:tcPr>
            <w:tcW w:w="2160" w:type="dxa"/>
            <w:tcBorders>
              <w:top w:val="single" w:color="000000" w:sz="4" w:space="0"/>
              <w:left w:val="single" w:color="000000" w:sz="4" w:space="0"/>
              <w:bottom w:val="single" w:color="000000" w:sz="12" w:space="0"/>
              <w:right w:val="single" w:color="000000" w:sz="12" w:space="0"/>
            </w:tcBorders>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highlight w:val="none"/>
              </w:rPr>
            </w:pPr>
          </w:p>
        </w:tc>
      </w:tr>
      <w:tr>
        <w:trPr>
          <w:trHeight w:val="600" w:hRule="atLeast"/>
        </w:trPr>
        <w:tc>
          <w:tcPr>
            <w:tcW w:w="10335" w:type="dxa"/>
            <w:gridSpan w:val="8"/>
            <w:vAlign w:val="center"/>
          </w:tcPr>
          <w:p>
            <w:pPr>
              <w:widowControl/>
              <w:wordWrap/>
              <w:adjustRightInd/>
              <w:snapToGrid/>
              <w:spacing w:line="440" w:lineRule="exact"/>
              <w:jc w:val="center"/>
              <w:textAlignment w:val="center"/>
              <w:outlineLvl w:val="9"/>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注：本表反映部门本年度一般公共预算财政拨款实际支出情况。</w:t>
            </w:r>
          </w:p>
        </w:tc>
      </w:tr>
    </w:tbl>
    <w:p>
      <w:pPr>
        <w:spacing w:line="567" w:lineRule="exact"/>
        <w:jc w:val="center"/>
        <w:rPr>
          <w:rFonts w:hint="eastAsia" w:ascii="仿宋_GB2312" w:hAnsi="仿宋_GB2312" w:eastAsia="仿宋_GB2312" w:cs="仿宋_GB2312"/>
          <w:sz w:val="52"/>
          <w:szCs w:val="52"/>
        </w:rPr>
        <w:sectPr>
          <w:type w:val="continuous"/>
          <w:pgSz w:w="11906" w:h="16838"/>
          <w:pgMar w:top="2211" w:right="1418" w:bottom="1871" w:left="1531" w:header="851" w:footer="992" w:gutter="0"/>
          <w:cols w:space="720" w:num="1"/>
          <w:docGrid w:type="lines" w:linePitch="312"/>
        </w:sectPr>
      </w:pPr>
    </w:p>
    <w:tbl>
      <w:tblPr>
        <w:tblW w:w="10365" w:type="dxa"/>
        <w:tblInd w:w="-108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00"/>
        <w:gridCol w:w="935"/>
        <w:gridCol w:w="1794"/>
        <w:gridCol w:w="1620"/>
        <w:gridCol w:w="754"/>
        <w:gridCol w:w="117"/>
        <w:gridCol w:w="1677"/>
        <w:gridCol w:w="993"/>
        <w:gridCol w:w="1575"/>
      </w:tblGrid>
      <w:tr>
        <w:trPr>
          <w:trHeight w:val="375" w:hRule="atLeast"/>
        </w:trPr>
        <w:tc>
          <w:tcPr>
            <w:tcW w:w="10365" w:type="dxa"/>
            <w:gridSpan w:val="9"/>
            <w:vAlign w:val="bottom"/>
          </w:tcPr>
          <w:p>
            <w:pPr>
              <w:widowControl/>
              <w:spacing w:line="567" w:lineRule="exact"/>
              <w:jc w:val="center"/>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一般公共预算财政拨款基本支出决算表</w:t>
            </w:r>
          </w:p>
        </w:tc>
      </w:tr>
      <w:tr>
        <w:trPr>
          <w:trHeight w:val="285" w:hRule="atLeast"/>
        </w:trPr>
        <w:tc>
          <w:tcPr>
            <w:tcW w:w="1835"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1794" w:type="dxa"/>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vAlign w:val="center"/>
          </w:tcPr>
          <w:p>
            <w:pPr>
              <w:spacing w:line="567" w:lineRule="exact"/>
              <w:jc w:val="center"/>
              <w:rPr>
                <w:rFonts w:hint="eastAsia" w:ascii="仿宋_GB2312" w:hAnsi="仿宋_GB2312" w:eastAsia="仿宋_GB2312" w:cs="仿宋_GB2312"/>
                <w:color w:val="000000"/>
                <w:sz w:val="16"/>
                <w:szCs w:val="16"/>
              </w:rPr>
            </w:pPr>
          </w:p>
        </w:tc>
        <w:tc>
          <w:tcPr>
            <w:tcW w:w="754" w:type="dxa"/>
            <w:vAlign w:val="center"/>
          </w:tcPr>
          <w:p>
            <w:pPr>
              <w:spacing w:line="567" w:lineRule="exact"/>
              <w:jc w:val="center"/>
              <w:rPr>
                <w:rFonts w:hint="eastAsia" w:ascii="仿宋_GB2312" w:hAnsi="仿宋_GB2312" w:eastAsia="仿宋_GB2312" w:cs="仿宋_GB2312"/>
                <w:color w:val="000000"/>
                <w:sz w:val="16"/>
                <w:szCs w:val="16"/>
              </w:rPr>
            </w:pPr>
          </w:p>
        </w:tc>
        <w:tc>
          <w:tcPr>
            <w:tcW w:w="1794"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2568" w:type="dxa"/>
            <w:gridSpan w:val="2"/>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公开06表</w:t>
            </w:r>
          </w:p>
        </w:tc>
      </w:tr>
      <w:tr>
        <w:trPr>
          <w:trHeight w:val="270" w:hRule="atLeast"/>
        </w:trPr>
        <w:tc>
          <w:tcPr>
            <w:tcW w:w="1835" w:type="dxa"/>
            <w:gridSpan w:val="2"/>
            <w:vAlign w:val="center"/>
          </w:tcPr>
          <w:p>
            <w:pPr>
              <w:spacing w:line="567" w:lineRule="exact"/>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部门：</w:t>
            </w:r>
          </w:p>
        </w:tc>
        <w:tc>
          <w:tcPr>
            <w:tcW w:w="1794" w:type="dxa"/>
            <w:vAlign w:val="center"/>
          </w:tcPr>
          <w:p>
            <w:pPr>
              <w:spacing w:line="567" w:lineRule="exact"/>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郑州市工商联</w:t>
            </w:r>
          </w:p>
        </w:tc>
        <w:tc>
          <w:tcPr>
            <w:tcW w:w="1620" w:type="dxa"/>
            <w:vAlign w:val="center"/>
          </w:tcPr>
          <w:p>
            <w:pPr>
              <w:spacing w:line="567" w:lineRule="exact"/>
              <w:jc w:val="center"/>
              <w:rPr>
                <w:rFonts w:hint="eastAsia" w:ascii="仿宋_GB2312" w:hAnsi="仿宋_GB2312" w:eastAsia="仿宋_GB2312" w:cs="仿宋_GB2312"/>
                <w:color w:val="000000"/>
                <w:sz w:val="16"/>
                <w:szCs w:val="16"/>
              </w:rPr>
            </w:pPr>
          </w:p>
        </w:tc>
        <w:tc>
          <w:tcPr>
            <w:tcW w:w="754" w:type="dxa"/>
            <w:vAlign w:val="center"/>
          </w:tcPr>
          <w:p>
            <w:pPr>
              <w:spacing w:line="567" w:lineRule="exact"/>
              <w:jc w:val="center"/>
              <w:rPr>
                <w:rFonts w:hint="eastAsia" w:ascii="仿宋_GB2312" w:hAnsi="仿宋_GB2312" w:eastAsia="仿宋_GB2312" w:cs="仿宋_GB2312"/>
                <w:color w:val="000000"/>
                <w:sz w:val="16"/>
                <w:szCs w:val="16"/>
              </w:rPr>
            </w:pPr>
          </w:p>
        </w:tc>
        <w:tc>
          <w:tcPr>
            <w:tcW w:w="1794"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2568" w:type="dxa"/>
            <w:gridSpan w:val="2"/>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金额单位：万元</w:t>
            </w:r>
          </w:p>
        </w:tc>
      </w:tr>
      <w:tr>
        <w:trPr>
          <w:trHeight w:val="300" w:hRule="atLeast"/>
        </w:trPr>
        <w:tc>
          <w:tcPr>
            <w:tcW w:w="5249" w:type="dxa"/>
            <w:gridSpan w:val="4"/>
            <w:tcBorders>
              <w:top w:val="single" w:color="000000" w:sz="12"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人员经费</w:t>
            </w:r>
          </w:p>
        </w:tc>
        <w:tc>
          <w:tcPr>
            <w:tcW w:w="5116" w:type="dxa"/>
            <w:gridSpan w:val="5"/>
            <w:tcBorders>
              <w:top w:val="single" w:color="000000" w:sz="12"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公用经费</w:t>
            </w:r>
          </w:p>
        </w:tc>
      </w:tr>
      <w:tr>
        <w:trPr>
          <w:trHeight w:val="6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kern w:val="0"/>
                <w:sz w:val="16"/>
                <w:szCs w:val="16"/>
              </w:rPr>
            </w:pPr>
            <w:r>
              <w:rPr>
                <w:rFonts w:hint="eastAsia" w:ascii="仿宋_GB2312" w:hAnsi="仿宋_GB2312" w:eastAsia="仿宋_GB2312" w:cs="仿宋_GB2312"/>
                <w:b/>
                <w:color w:val="000000"/>
                <w:kern w:val="0"/>
                <w:sz w:val="16"/>
                <w:szCs w:val="16"/>
              </w:rPr>
              <w:t>经济分类</w:t>
            </w:r>
          </w:p>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科目编码</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科目名称</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金额</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kern w:val="0"/>
                <w:sz w:val="16"/>
                <w:szCs w:val="16"/>
              </w:rPr>
            </w:pPr>
            <w:r>
              <w:rPr>
                <w:rFonts w:hint="eastAsia" w:ascii="仿宋_GB2312" w:hAnsi="仿宋_GB2312" w:eastAsia="仿宋_GB2312" w:cs="仿宋_GB2312"/>
                <w:b/>
                <w:color w:val="000000"/>
                <w:kern w:val="0"/>
                <w:sz w:val="16"/>
                <w:szCs w:val="16"/>
              </w:rPr>
              <w:t>经济分类</w:t>
            </w:r>
          </w:p>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科目编码</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科目名称</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金额</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334.69</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302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商品和服务支出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71.63</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30101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基本工资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178.51</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30201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办公费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13.22</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30102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津贴补贴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63.12</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印刷费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30103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奖金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55.56</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30203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咨询费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30104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其他社会保障缴费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11.39</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30204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手续费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30106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伙食补助费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30205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水费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30107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绩效工资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30206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电费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30108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机关事业单位基本养老保险缴费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26.11</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30207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邮电费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1.56</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30109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职业年金缴费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30208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取暖费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30199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其他工资福利支出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30209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物业管理费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对个人和家庭的补助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42.18</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30211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差旅费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14.02</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离休费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30212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因公出国(境)费用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10.83</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退休费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20.77</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30213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维修(护)费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退职(役)费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30214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租赁费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0.83</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抚恤金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30215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会议费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6.24</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30305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生活补助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0.40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30216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培训费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0.78</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救济费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30217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公务接待费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医疗费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30218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专用材料费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助学金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被装购置费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奖励金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专用燃料费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30310</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生产补贴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劳务费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15.50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30311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住房公积金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21.01</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委托业务费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30312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提租补贴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工会经费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30313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购房补贴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福利费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1.65</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30314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采暖补贴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30231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公务用车运行维护费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30315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物业服务补贴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30239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其他交通费用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30399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其他对个人和家庭的补助支出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30240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税金及附加费用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30299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其他商品和服务支出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被装购置费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lang w:eastAsia="zh-CN"/>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lang w:val="en-US" w:eastAsia="zh-CN"/>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专用燃料费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lang w:eastAsia="zh-CN"/>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劳务费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委托业务费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工会经费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30229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福利费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30231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公务用车运行维护费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30239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其他交通费用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30240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税金及附加费用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30299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其他商品和服务支出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310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其他资本性支出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7.00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31001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房屋建筑物购建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办公设备购置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7.00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31003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专用设备购置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31005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基础设施建设</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sz w:val="16"/>
                <w:szCs w:val="16"/>
                <w:lang w:eastAsia="zh-CN"/>
              </w:rPr>
              <w:t>人员经费合计</w:t>
            </w: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376.87</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31006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大型修缮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31007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信息网络及软件购置更新</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31008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物资储备</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31009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土地补偿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31010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安置补助</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31011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地上附着物和青苗补偿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31012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拆迁补偿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31013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公务用车购置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31019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其他交通工具购置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31020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产权参股</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300" w:hRule="atLeast"/>
        </w:trPr>
        <w:tc>
          <w:tcPr>
            <w:tcW w:w="900" w:type="dxa"/>
            <w:tcBorders>
              <w:top w:val="single" w:color="000000" w:sz="4" w:space="0"/>
              <w:left w:val="single" w:color="000000" w:sz="12"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2729" w:type="dxa"/>
            <w:gridSpan w:val="2"/>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1620" w:type="dxa"/>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1" w:type="dxa"/>
            <w:gridSpan w:val="2"/>
            <w:tcBorders>
              <w:top w:val="single" w:color="000000" w:sz="4" w:space="0"/>
              <w:left w:val="single" w:color="000000" w:sz="4" w:space="0"/>
              <w:bottom w:val="single" w:color="000000" w:sz="12"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31099</w:t>
            </w:r>
          </w:p>
        </w:tc>
        <w:tc>
          <w:tcPr>
            <w:tcW w:w="2670" w:type="dxa"/>
            <w:gridSpan w:val="2"/>
            <w:tcBorders>
              <w:top w:val="single" w:color="000000" w:sz="4" w:space="0"/>
              <w:left w:val="single" w:color="000000" w:sz="4" w:space="0"/>
              <w:bottom w:val="single" w:color="000000" w:sz="12"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其他资本性支出</w:t>
            </w:r>
          </w:p>
        </w:tc>
        <w:tc>
          <w:tcPr>
            <w:tcW w:w="1575" w:type="dxa"/>
            <w:tcBorders>
              <w:top w:val="single" w:color="000000" w:sz="4" w:space="0"/>
              <w:left w:val="single" w:color="000000" w:sz="4" w:space="0"/>
              <w:bottom w:val="single" w:color="000000" w:sz="12"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477" w:hRule="atLeast"/>
        </w:trPr>
        <w:tc>
          <w:tcPr>
            <w:tcW w:w="10365" w:type="dxa"/>
            <w:gridSpan w:val="9"/>
            <w:vAlign w:val="center"/>
          </w:tcPr>
          <w:p>
            <w:pPr>
              <w:widowControl/>
              <w:spacing w:line="567" w:lineRule="exact"/>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注：本表反映部门本年度一般公共预算财政拨款基本支出明细情况。</w:t>
            </w:r>
          </w:p>
          <w:p>
            <w:pPr>
              <w:widowControl/>
              <w:spacing w:line="567" w:lineRule="exact"/>
              <w:jc w:val="center"/>
              <w:textAlignment w:val="center"/>
              <w:rPr>
                <w:rFonts w:hint="eastAsia" w:ascii="仿宋_GB2312" w:hAnsi="仿宋_GB2312" w:eastAsia="仿宋_GB2312" w:cs="仿宋_GB2312"/>
                <w:color w:val="000000"/>
                <w:kern w:val="0"/>
                <w:sz w:val="16"/>
                <w:szCs w:val="16"/>
              </w:rPr>
            </w:pPr>
          </w:p>
          <w:p>
            <w:pPr>
              <w:widowControl/>
              <w:spacing w:line="567" w:lineRule="exact"/>
              <w:jc w:val="center"/>
              <w:textAlignment w:val="center"/>
              <w:rPr>
                <w:rFonts w:hint="eastAsia" w:ascii="仿宋_GB2312" w:hAnsi="仿宋_GB2312" w:eastAsia="仿宋_GB2312" w:cs="仿宋_GB2312"/>
                <w:color w:val="000000"/>
                <w:kern w:val="0"/>
                <w:sz w:val="16"/>
                <w:szCs w:val="16"/>
              </w:rPr>
            </w:pPr>
          </w:p>
          <w:p>
            <w:pPr>
              <w:widowControl/>
              <w:spacing w:line="567" w:lineRule="exact"/>
              <w:jc w:val="center"/>
              <w:textAlignment w:val="center"/>
              <w:rPr>
                <w:rFonts w:hint="eastAsia" w:ascii="仿宋_GB2312" w:hAnsi="仿宋_GB2312" w:eastAsia="仿宋_GB2312" w:cs="仿宋_GB2312"/>
                <w:color w:val="000000"/>
                <w:kern w:val="0"/>
                <w:sz w:val="16"/>
                <w:szCs w:val="16"/>
              </w:rPr>
            </w:pPr>
          </w:p>
          <w:p>
            <w:pPr>
              <w:widowControl/>
              <w:spacing w:line="567" w:lineRule="exact"/>
              <w:jc w:val="center"/>
              <w:textAlignment w:val="center"/>
              <w:rPr>
                <w:rFonts w:hint="eastAsia" w:ascii="仿宋_GB2312" w:hAnsi="仿宋_GB2312" w:eastAsia="仿宋_GB2312" w:cs="仿宋_GB2312"/>
                <w:color w:val="000000"/>
                <w:kern w:val="0"/>
                <w:sz w:val="16"/>
                <w:szCs w:val="16"/>
              </w:rPr>
            </w:pPr>
          </w:p>
          <w:p>
            <w:pPr>
              <w:widowControl/>
              <w:spacing w:line="567" w:lineRule="exact"/>
              <w:jc w:val="both"/>
              <w:textAlignment w:val="center"/>
              <w:rPr>
                <w:rFonts w:hint="eastAsia" w:ascii="仿宋_GB2312" w:hAnsi="仿宋_GB2312" w:eastAsia="仿宋_GB2312" w:cs="仿宋_GB2312"/>
                <w:color w:val="000000"/>
                <w:kern w:val="0"/>
                <w:sz w:val="16"/>
                <w:szCs w:val="16"/>
              </w:rPr>
            </w:pPr>
          </w:p>
        </w:tc>
      </w:tr>
    </w:tbl>
    <w:p>
      <w:pPr>
        <w:spacing w:line="567" w:lineRule="exact"/>
        <w:jc w:val="center"/>
        <w:rPr>
          <w:rFonts w:hint="eastAsia" w:ascii="仿宋_GB2312" w:hAnsi="仿宋_GB2312" w:eastAsia="仿宋_GB2312" w:cs="仿宋_GB2312"/>
          <w:sz w:val="52"/>
          <w:szCs w:val="52"/>
        </w:rPr>
        <w:sectPr>
          <w:type w:val="continuous"/>
          <w:pgSz w:w="11906" w:h="16838"/>
          <w:pgMar w:top="2211" w:right="1418" w:bottom="1871" w:left="1531" w:header="851" w:footer="992" w:gutter="0"/>
          <w:cols w:space="720" w:num="1"/>
          <w:docGrid w:type="lines" w:linePitch="312"/>
        </w:sectPr>
      </w:pPr>
    </w:p>
    <w:tbl>
      <w:tblPr>
        <w:tblW w:w="10350" w:type="dxa"/>
        <w:tblInd w:w="-10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40"/>
        <w:gridCol w:w="855"/>
        <w:gridCol w:w="256"/>
        <w:gridCol w:w="647"/>
        <w:gridCol w:w="629"/>
        <w:gridCol w:w="208"/>
        <w:gridCol w:w="422"/>
        <w:gridCol w:w="448"/>
        <w:gridCol w:w="181"/>
        <w:gridCol w:w="689"/>
        <w:gridCol w:w="812"/>
        <w:gridCol w:w="88"/>
        <w:gridCol w:w="559"/>
        <w:gridCol w:w="281"/>
        <w:gridCol w:w="349"/>
        <w:gridCol w:w="506"/>
        <w:gridCol w:w="124"/>
        <w:gridCol w:w="630"/>
        <w:gridCol w:w="116"/>
        <w:gridCol w:w="840"/>
        <w:gridCol w:w="870"/>
      </w:tblGrid>
      <w:tr>
        <w:trPr>
          <w:trHeight w:val="375" w:hRule="atLeast"/>
        </w:trPr>
        <w:tc>
          <w:tcPr>
            <w:tcW w:w="10350" w:type="dxa"/>
            <w:gridSpan w:val="21"/>
            <w:vAlign w:val="bottom"/>
          </w:tcPr>
          <w:p>
            <w:pPr>
              <w:widowControl/>
              <w:spacing w:line="567" w:lineRule="exact"/>
              <w:jc w:val="center"/>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一般公共预算财政拨款“三公”经费支出决算表</w:t>
            </w:r>
          </w:p>
        </w:tc>
      </w:tr>
      <w:tr>
        <w:trPr>
          <w:trHeight w:val="285" w:hRule="atLeast"/>
        </w:trPr>
        <w:tc>
          <w:tcPr>
            <w:tcW w:w="1951" w:type="dxa"/>
            <w:gridSpan w:val="3"/>
            <w:vAlign w:val="center"/>
          </w:tcPr>
          <w:p>
            <w:pPr>
              <w:spacing w:line="567" w:lineRule="exact"/>
              <w:jc w:val="center"/>
              <w:rPr>
                <w:rFonts w:hint="eastAsia" w:ascii="仿宋_GB2312" w:hAnsi="仿宋_GB2312" w:eastAsia="仿宋_GB2312" w:cs="仿宋_GB2312"/>
                <w:color w:val="000000"/>
                <w:sz w:val="16"/>
                <w:szCs w:val="16"/>
              </w:rPr>
            </w:pPr>
          </w:p>
        </w:tc>
        <w:tc>
          <w:tcPr>
            <w:tcW w:w="647" w:type="dxa"/>
            <w:vAlign w:val="center"/>
          </w:tcPr>
          <w:p>
            <w:pPr>
              <w:spacing w:line="567" w:lineRule="exact"/>
              <w:jc w:val="center"/>
              <w:rPr>
                <w:rFonts w:hint="eastAsia" w:ascii="仿宋_GB2312" w:hAnsi="仿宋_GB2312" w:eastAsia="仿宋_GB2312" w:cs="仿宋_GB2312"/>
                <w:color w:val="000000"/>
                <w:sz w:val="16"/>
                <w:szCs w:val="16"/>
              </w:rPr>
            </w:pPr>
          </w:p>
        </w:tc>
        <w:tc>
          <w:tcPr>
            <w:tcW w:w="629" w:type="dxa"/>
            <w:vAlign w:val="center"/>
          </w:tcPr>
          <w:p>
            <w:pPr>
              <w:spacing w:line="567" w:lineRule="exact"/>
              <w:jc w:val="center"/>
              <w:rPr>
                <w:rFonts w:hint="eastAsia" w:ascii="仿宋_GB2312" w:hAnsi="仿宋_GB2312" w:eastAsia="仿宋_GB2312" w:cs="仿宋_GB2312"/>
                <w:color w:val="000000"/>
                <w:sz w:val="16"/>
                <w:szCs w:val="16"/>
              </w:rPr>
            </w:pPr>
          </w:p>
        </w:tc>
        <w:tc>
          <w:tcPr>
            <w:tcW w:w="630"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629"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689" w:type="dxa"/>
            <w:vAlign w:val="center"/>
          </w:tcPr>
          <w:p>
            <w:pPr>
              <w:spacing w:line="567" w:lineRule="exact"/>
              <w:jc w:val="center"/>
              <w:rPr>
                <w:rFonts w:hint="eastAsia" w:ascii="仿宋_GB2312" w:hAnsi="仿宋_GB2312" w:eastAsia="仿宋_GB2312" w:cs="仿宋_GB2312"/>
                <w:color w:val="000000"/>
                <w:sz w:val="16"/>
                <w:szCs w:val="16"/>
              </w:rPr>
            </w:pPr>
          </w:p>
        </w:tc>
        <w:tc>
          <w:tcPr>
            <w:tcW w:w="812" w:type="dxa"/>
            <w:vAlign w:val="center"/>
          </w:tcPr>
          <w:p>
            <w:pPr>
              <w:spacing w:line="567" w:lineRule="exact"/>
              <w:jc w:val="center"/>
              <w:rPr>
                <w:rFonts w:hint="eastAsia" w:ascii="仿宋_GB2312" w:hAnsi="仿宋_GB2312" w:eastAsia="仿宋_GB2312" w:cs="仿宋_GB2312"/>
                <w:color w:val="000000"/>
                <w:sz w:val="16"/>
                <w:szCs w:val="16"/>
              </w:rPr>
            </w:pPr>
          </w:p>
        </w:tc>
        <w:tc>
          <w:tcPr>
            <w:tcW w:w="647"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630"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630"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630" w:type="dxa"/>
            <w:vAlign w:val="center"/>
          </w:tcPr>
          <w:p>
            <w:pPr>
              <w:spacing w:line="567" w:lineRule="exact"/>
              <w:jc w:val="center"/>
              <w:rPr>
                <w:rFonts w:hint="eastAsia" w:ascii="仿宋_GB2312" w:hAnsi="仿宋_GB2312" w:eastAsia="仿宋_GB2312" w:cs="仿宋_GB2312"/>
                <w:color w:val="000000"/>
                <w:sz w:val="16"/>
                <w:szCs w:val="16"/>
              </w:rPr>
            </w:pPr>
          </w:p>
        </w:tc>
        <w:tc>
          <w:tcPr>
            <w:tcW w:w="1826" w:type="dxa"/>
            <w:gridSpan w:val="3"/>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公开07表</w:t>
            </w:r>
          </w:p>
        </w:tc>
      </w:tr>
      <w:tr>
        <w:trPr>
          <w:trHeight w:val="270" w:hRule="atLeast"/>
        </w:trPr>
        <w:tc>
          <w:tcPr>
            <w:tcW w:w="1951" w:type="dxa"/>
            <w:gridSpan w:val="3"/>
            <w:vAlign w:val="center"/>
          </w:tcPr>
          <w:p>
            <w:pPr>
              <w:spacing w:line="567" w:lineRule="exact"/>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部门：</w:t>
            </w:r>
          </w:p>
        </w:tc>
        <w:tc>
          <w:tcPr>
            <w:tcW w:w="1906" w:type="dxa"/>
            <w:gridSpan w:val="4"/>
            <w:vAlign w:val="center"/>
          </w:tcPr>
          <w:p>
            <w:pPr>
              <w:tabs>
                <w:tab w:val="left" w:pos="578"/>
              </w:tabs>
              <w:spacing w:line="567" w:lineRule="exact"/>
              <w:jc w:val="left"/>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sz w:val="16"/>
                <w:szCs w:val="16"/>
                <w:lang w:eastAsia="zh-CN"/>
              </w:rPr>
              <w:tab/>
            </w:r>
            <w:r>
              <w:rPr>
                <w:rFonts w:hint="eastAsia" w:ascii="仿宋_GB2312" w:hAnsi="仿宋_GB2312" w:eastAsia="仿宋_GB2312" w:cs="仿宋_GB2312"/>
                <w:color w:val="000000"/>
                <w:sz w:val="16"/>
                <w:szCs w:val="16"/>
                <w:lang w:val="en-US" w:eastAsia="zh-CN"/>
              </w:rPr>
              <w:t>郑州市工商联</w:t>
            </w:r>
          </w:p>
        </w:tc>
        <w:tc>
          <w:tcPr>
            <w:tcW w:w="629"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689" w:type="dxa"/>
            <w:vAlign w:val="center"/>
          </w:tcPr>
          <w:p>
            <w:pPr>
              <w:spacing w:line="567" w:lineRule="exact"/>
              <w:jc w:val="center"/>
              <w:rPr>
                <w:rFonts w:hint="eastAsia" w:ascii="仿宋_GB2312" w:hAnsi="仿宋_GB2312" w:eastAsia="仿宋_GB2312" w:cs="仿宋_GB2312"/>
                <w:color w:val="000000"/>
                <w:sz w:val="16"/>
                <w:szCs w:val="16"/>
              </w:rPr>
            </w:pPr>
          </w:p>
        </w:tc>
        <w:tc>
          <w:tcPr>
            <w:tcW w:w="812" w:type="dxa"/>
            <w:vAlign w:val="center"/>
          </w:tcPr>
          <w:p>
            <w:pPr>
              <w:spacing w:line="567" w:lineRule="exact"/>
              <w:jc w:val="center"/>
              <w:rPr>
                <w:rFonts w:hint="eastAsia" w:ascii="仿宋_GB2312" w:hAnsi="仿宋_GB2312" w:eastAsia="仿宋_GB2312" w:cs="仿宋_GB2312"/>
                <w:color w:val="000000"/>
                <w:sz w:val="16"/>
                <w:szCs w:val="16"/>
              </w:rPr>
            </w:pPr>
          </w:p>
        </w:tc>
        <w:tc>
          <w:tcPr>
            <w:tcW w:w="647"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630"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630"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630" w:type="dxa"/>
            <w:vAlign w:val="center"/>
          </w:tcPr>
          <w:p>
            <w:pPr>
              <w:spacing w:line="567" w:lineRule="exact"/>
              <w:jc w:val="center"/>
              <w:rPr>
                <w:rFonts w:hint="eastAsia" w:ascii="仿宋_GB2312" w:hAnsi="仿宋_GB2312" w:eastAsia="仿宋_GB2312" w:cs="仿宋_GB2312"/>
                <w:color w:val="000000"/>
                <w:sz w:val="16"/>
                <w:szCs w:val="16"/>
              </w:rPr>
            </w:pPr>
          </w:p>
        </w:tc>
        <w:tc>
          <w:tcPr>
            <w:tcW w:w="1826" w:type="dxa"/>
            <w:gridSpan w:val="3"/>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金额单位：万元</w:t>
            </w:r>
          </w:p>
        </w:tc>
      </w:tr>
      <w:tr>
        <w:trPr>
          <w:trHeight w:val="300" w:hRule="atLeast"/>
        </w:trPr>
        <w:tc>
          <w:tcPr>
            <w:tcW w:w="5175" w:type="dxa"/>
            <w:gridSpan w:val="10"/>
            <w:tcBorders>
              <w:top w:val="single" w:color="000000" w:sz="12"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2017年度预算数</w:t>
            </w:r>
          </w:p>
        </w:tc>
        <w:tc>
          <w:tcPr>
            <w:tcW w:w="5175" w:type="dxa"/>
            <w:gridSpan w:val="11"/>
            <w:tcBorders>
              <w:top w:val="single" w:color="000000" w:sz="12"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2017年度决算数</w:t>
            </w:r>
          </w:p>
        </w:tc>
      </w:tr>
      <w:tr>
        <w:trPr>
          <w:trHeight w:val="600" w:hRule="atLeast"/>
        </w:trPr>
        <w:tc>
          <w:tcPr>
            <w:tcW w:w="840" w:type="dxa"/>
            <w:vMerge w:val="restart"/>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合计</w:t>
            </w:r>
          </w:p>
        </w:tc>
        <w:tc>
          <w:tcPr>
            <w:tcW w:w="85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因公出国（境）费</w:t>
            </w:r>
          </w:p>
        </w:tc>
        <w:tc>
          <w:tcPr>
            <w:tcW w:w="2610" w:type="dxa"/>
            <w:gridSpan w:val="6"/>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公务用车购置及运行费</w:t>
            </w:r>
          </w:p>
        </w:tc>
        <w:tc>
          <w:tcPr>
            <w:tcW w:w="870"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公务接待费</w:t>
            </w:r>
          </w:p>
        </w:tc>
        <w:tc>
          <w:tcPr>
            <w:tcW w:w="900"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合计</w:t>
            </w:r>
          </w:p>
        </w:tc>
        <w:tc>
          <w:tcPr>
            <w:tcW w:w="840"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因公出国（境）费</w:t>
            </w:r>
          </w:p>
        </w:tc>
        <w:tc>
          <w:tcPr>
            <w:tcW w:w="2565" w:type="dxa"/>
            <w:gridSpan w:val="6"/>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公务用车购置及运行费</w:t>
            </w:r>
          </w:p>
        </w:tc>
        <w:tc>
          <w:tcPr>
            <w:tcW w:w="870" w:type="dxa"/>
            <w:vMerge w:val="restart"/>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公务接待费</w:t>
            </w:r>
          </w:p>
        </w:tc>
      </w:tr>
      <w:tr>
        <w:trPr>
          <w:trHeight w:val="600" w:hRule="atLeast"/>
        </w:trPr>
        <w:tc>
          <w:tcPr>
            <w:tcW w:w="840" w:type="dxa"/>
            <w:vMerge w:val="continue"/>
            <w:tcBorders>
              <w:top w:val="single" w:color="000000" w:sz="4" w:space="0"/>
              <w:left w:val="single" w:color="000000" w:sz="12"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rPr>
            </w:pPr>
          </w:p>
        </w:tc>
        <w:tc>
          <w:tcPr>
            <w:tcW w:w="855" w:type="dxa"/>
            <w:vMerge w:val="continue"/>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rPr>
            </w:pP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小计</w:t>
            </w:r>
          </w:p>
        </w:tc>
        <w:tc>
          <w:tcPr>
            <w:tcW w:w="837"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公务用车</w:t>
            </w:r>
            <w:r>
              <w:rPr>
                <w:rFonts w:hint="eastAsia" w:ascii="仿宋_GB2312" w:hAnsi="仿宋_GB2312" w:eastAsia="仿宋_GB2312" w:cs="仿宋_GB2312"/>
                <w:b/>
                <w:color w:val="000000"/>
                <w:kern w:val="0"/>
                <w:sz w:val="16"/>
                <w:szCs w:val="16"/>
              </w:rPr>
              <w:br/>
            </w:r>
            <w:r>
              <w:rPr>
                <w:rFonts w:hint="eastAsia" w:ascii="仿宋_GB2312" w:hAnsi="仿宋_GB2312" w:eastAsia="仿宋_GB2312" w:cs="仿宋_GB2312"/>
                <w:b/>
                <w:color w:val="000000"/>
                <w:kern w:val="0"/>
                <w:sz w:val="16"/>
                <w:szCs w:val="16"/>
              </w:rPr>
              <w:t>购置费</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公务用车</w:t>
            </w:r>
            <w:r>
              <w:rPr>
                <w:rFonts w:hint="eastAsia" w:ascii="仿宋_GB2312" w:hAnsi="仿宋_GB2312" w:eastAsia="仿宋_GB2312" w:cs="仿宋_GB2312"/>
                <w:b/>
                <w:color w:val="000000"/>
                <w:kern w:val="0"/>
                <w:sz w:val="16"/>
                <w:szCs w:val="16"/>
              </w:rPr>
              <w:br/>
            </w:r>
            <w:r>
              <w:rPr>
                <w:rFonts w:hint="eastAsia" w:ascii="仿宋_GB2312" w:hAnsi="仿宋_GB2312" w:eastAsia="仿宋_GB2312" w:cs="仿宋_GB2312"/>
                <w:b/>
                <w:color w:val="000000"/>
                <w:kern w:val="0"/>
                <w:sz w:val="16"/>
                <w:szCs w:val="16"/>
              </w:rPr>
              <w:t>运行费</w:t>
            </w:r>
          </w:p>
        </w:tc>
        <w:tc>
          <w:tcPr>
            <w:tcW w:w="870"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rPr>
            </w:pPr>
          </w:p>
        </w:tc>
        <w:tc>
          <w:tcPr>
            <w:tcW w:w="900"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rPr>
            </w:pPr>
          </w:p>
        </w:tc>
        <w:tc>
          <w:tcPr>
            <w:tcW w:w="840"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小计</w:t>
            </w:r>
          </w:p>
        </w:tc>
        <w:tc>
          <w:tcPr>
            <w:tcW w:w="870"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公务用车</w:t>
            </w:r>
            <w:r>
              <w:rPr>
                <w:rFonts w:hint="eastAsia" w:ascii="仿宋_GB2312" w:hAnsi="仿宋_GB2312" w:eastAsia="仿宋_GB2312" w:cs="仿宋_GB2312"/>
                <w:b/>
                <w:color w:val="000000"/>
                <w:kern w:val="0"/>
                <w:sz w:val="16"/>
                <w:szCs w:val="16"/>
              </w:rPr>
              <w:br/>
            </w:r>
            <w:r>
              <w:rPr>
                <w:rFonts w:hint="eastAsia" w:ascii="仿宋_GB2312" w:hAnsi="仿宋_GB2312" w:eastAsia="仿宋_GB2312" w:cs="仿宋_GB2312"/>
                <w:b/>
                <w:color w:val="000000"/>
                <w:kern w:val="0"/>
                <w:sz w:val="16"/>
                <w:szCs w:val="16"/>
              </w:rPr>
              <w:t>购置费</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公务用车</w:t>
            </w:r>
            <w:r>
              <w:rPr>
                <w:rFonts w:hint="eastAsia" w:ascii="仿宋_GB2312" w:hAnsi="仿宋_GB2312" w:eastAsia="仿宋_GB2312" w:cs="仿宋_GB2312"/>
                <w:b/>
                <w:color w:val="000000"/>
                <w:kern w:val="0"/>
                <w:sz w:val="16"/>
                <w:szCs w:val="16"/>
              </w:rPr>
              <w:br/>
            </w:r>
            <w:r>
              <w:rPr>
                <w:rFonts w:hint="eastAsia" w:ascii="仿宋_GB2312" w:hAnsi="仿宋_GB2312" w:eastAsia="仿宋_GB2312" w:cs="仿宋_GB2312"/>
                <w:b/>
                <w:color w:val="000000"/>
                <w:kern w:val="0"/>
                <w:sz w:val="16"/>
                <w:szCs w:val="16"/>
              </w:rPr>
              <w:t>运行费</w:t>
            </w:r>
          </w:p>
        </w:tc>
        <w:tc>
          <w:tcPr>
            <w:tcW w:w="870" w:type="dxa"/>
            <w:vMerge w:val="continue"/>
            <w:tcBorders>
              <w:top w:val="single" w:color="000000" w:sz="4" w:space="0"/>
              <w:left w:val="single" w:color="000000" w:sz="4" w:space="0"/>
              <w:bottom w:val="single" w:color="000000" w:sz="4" w:space="0"/>
              <w:right w:val="single" w:color="000000" w:sz="12" w:space="0"/>
            </w:tcBorders>
            <w:vAlign w:val="center"/>
          </w:tcPr>
          <w:p>
            <w:pPr>
              <w:spacing w:line="567" w:lineRule="exact"/>
              <w:jc w:val="center"/>
              <w:rPr>
                <w:rFonts w:hint="eastAsia" w:ascii="仿宋_GB2312" w:hAnsi="仿宋_GB2312" w:eastAsia="仿宋_GB2312" w:cs="仿宋_GB2312"/>
                <w:b/>
                <w:color w:val="000000"/>
                <w:sz w:val="16"/>
                <w:szCs w:val="16"/>
              </w:rPr>
            </w:pPr>
          </w:p>
        </w:tc>
      </w:tr>
      <w:tr>
        <w:trPr>
          <w:trHeight w:val="300" w:hRule="atLeast"/>
        </w:trPr>
        <w:tc>
          <w:tcPr>
            <w:tcW w:w="840"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1</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w:t>
            </w: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3</w:t>
            </w:r>
          </w:p>
        </w:tc>
        <w:tc>
          <w:tcPr>
            <w:tcW w:w="837"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4</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5</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6</w:t>
            </w:r>
          </w:p>
        </w:tc>
        <w:tc>
          <w:tcPr>
            <w:tcW w:w="9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7</w:t>
            </w:r>
          </w:p>
        </w:tc>
        <w:tc>
          <w:tcPr>
            <w:tcW w:w="84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8</w:t>
            </w: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9</w:t>
            </w:r>
          </w:p>
        </w:tc>
        <w:tc>
          <w:tcPr>
            <w:tcW w:w="870"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10</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11</w:t>
            </w:r>
          </w:p>
        </w:tc>
        <w:tc>
          <w:tcPr>
            <w:tcW w:w="8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12</w:t>
            </w:r>
          </w:p>
        </w:tc>
      </w:tr>
      <w:tr>
        <w:trPr>
          <w:trHeight w:val="600" w:hRule="atLeast"/>
        </w:trPr>
        <w:tc>
          <w:tcPr>
            <w:tcW w:w="840" w:type="dxa"/>
            <w:tcBorders>
              <w:top w:val="single" w:color="000000" w:sz="4" w:space="0"/>
              <w:left w:val="single" w:color="000000" w:sz="12"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17.79</w:t>
            </w:r>
          </w:p>
        </w:tc>
        <w:tc>
          <w:tcPr>
            <w:tcW w:w="855" w:type="dxa"/>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13.79</w:t>
            </w:r>
          </w:p>
        </w:tc>
        <w:tc>
          <w:tcPr>
            <w:tcW w:w="903" w:type="dxa"/>
            <w:gridSpan w:val="2"/>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4.00</w:t>
            </w:r>
          </w:p>
        </w:tc>
        <w:tc>
          <w:tcPr>
            <w:tcW w:w="837" w:type="dxa"/>
            <w:gridSpan w:val="2"/>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4.00</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900" w:type="dxa"/>
            <w:gridSpan w:val="2"/>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lang w:val="en-US" w:eastAsia="zh-CN"/>
              </w:rPr>
            </w:pPr>
            <w:r>
              <w:rPr>
                <w:rFonts w:hint="eastAsia" w:ascii="仿宋_GB2312" w:hAnsi="仿宋_GB2312" w:eastAsia="仿宋_GB2312" w:cs="仿宋_GB2312"/>
                <w:b/>
                <w:color w:val="000000"/>
                <w:sz w:val="16"/>
                <w:szCs w:val="16"/>
                <w:lang w:val="en-US" w:eastAsia="zh-CN"/>
              </w:rPr>
              <w:t>17.79</w:t>
            </w:r>
          </w:p>
        </w:tc>
        <w:tc>
          <w:tcPr>
            <w:tcW w:w="840" w:type="dxa"/>
            <w:gridSpan w:val="2"/>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13..79</w:t>
            </w:r>
          </w:p>
        </w:tc>
        <w:tc>
          <w:tcPr>
            <w:tcW w:w="855" w:type="dxa"/>
            <w:gridSpan w:val="2"/>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4.00</w:t>
            </w:r>
          </w:p>
        </w:tc>
        <w:tc>
          <w:tcPr>
            <w:tcW w:w="870" w:type="dxa"/>
            <w:gridSpan w:val="3"/>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rPr>
            </w:pPr>
          </w:p>
        </w:tc>
        <w:tc>
          <w:tcPr>
            <w:tcW w:w="840" w:type="dxa"/>
            <w:tcBorders>
              <w:top w:val="single" w:color="000000" w:sz="4" w:space="0"/>
              <w:left w:val="single" w:color="000000" w:sz="4" w:space="0"/>
              <w:bottom w:val="single" w:color="000000" w:sz="12" w:space="0"/>
              <w:right w:val="single" w:color="000000" w:sz="4" w:space="0"/>
            </w:tcBorders>
            <w:vAlign w:val="center"/>
          </w:tcPr>
          <w:p>
            <w:pPr>
              <w:spacing w:line="567" w:lineRule="exact"/>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4.00</w:t>
            </w:r>
          </w:p>
        </w:tc>
        <w:tc>
          <w:tcPr>
            <w:tcW w:w="870" w:type="dxa"/>
            <w:tcBorders>
              <w:top w:val="single" w:color="000000" w:sz="4" w:space="0"/>
              <w:left w:val="single" w:color="000000" w:sz="4" w:space="0"/>
              <w:bottom w:val="single" w:color="000000" w:sz="12" w:space="0"/>
              <w:right w:val="single" w:color="000000" w:sz="12" w:space="0"/>
            </w:tcBorders>
            <w:vAlign w:val="center"/>
          </w:tcPr>
          <w:p>
            <w:pPr>
              <w:spacing w:line="567" w:lineRule="exact"/>
              <w:jc w:val="center"/>
              <w:rPr>
                <w:rFonts w:hint="eastAsia" w:ascii="仿宋_GB2312" w:hAnsi="仿宋_GB2312" w:eastAsia="仿宋_GB2312" w:cs="仿宋_GB2312"/>
                <w:color w:val="000000"/>
                <w:sz w:val="16"/>
                <w:szCs w:val="16"/>
              </w:rPr>
            </w:pPr>
          </w:p>
        </w:tc>
      </w:tr>
      <w:tr>
        <w:trPr>
          <w:trHeight w:val="600" w:hRule="atLeast"/>
        </w:trPr>
        <w:tc>
          <w:tcPr>
            <w:tcW w:w="10350" w:type="dxa"/>
            <w:gridSpan w:val="21"/>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注：本表反映部门本年度“三公”经费支出预决算情况。其中，2017年度预算数为“三公”经费年初预算数，决算数是包括当年一般公共预算财政拨款和以前年度结转资金安排的实际支出。</w:t>
            </w:r>
          </w:p>
        </w:tc>
      </w:tr>
    </w:tbl>
    <w:p>
      <w:pPr>
        <w:spacing w:line="567" w:lineRule="exact"/>
        <w:jc w:val="center"/>
        <w:rPr>
          <w:rFonts w:hint="eastAsia" w:ascii="仿宋_GB2312" w:hAnsi="仿宋_GB2312" w:eastAsia="仿宋_GB2312" w:cs="仿宋_GB2312"/>
          <w:sz w:val="52"/>
          <w:szCs w:val="52"/>
        </w:rPr>
      </w:pPr>
    </w:p>
    <w:p>
      <w:pPr>
        <w:spacing w:line="567" w:lineRule="exact"/>
        <w:jc w:val="center"/>
        <w:rPr>
          <w:rFonts w:hint="eastAsia" w:ascii="仿宋_GB2312" w:hAnsi="仿宋_GB2312" w:eastAsia="仿宋_GB2312" w:cs="仿宋_GB2312"/>
          <w:sz w:val="52"/>
          <w:szCs w:val="52"/>
        </w:rPr>
      </w:pPr>
    </w:p>
    <w:p>
      <w:pPr>
        <w:spacing w:line="567" w:lineRule="exact"/>
        <w:jc w:val="center"/>
        <w:rPr>
          <w:rFonts w:hint="eastAsia" w:ascii="仿宋_GB2312" w:hAnsi="仿宋_GB2312" w:eastAsia="仿宋_GB2312" w:cs="仿宋_GB2312"/>
          <w:sz w:val="52"/>
          <w:szCs w:val="52"/>
        </w:rPr>
      </w:pPr>
    </w:p>
    <w:p>
      <w:pPr>
        <w:spacing w:line="567" w:lineRule="exact"/>
        <w:jc w:val="center"/>
        <w:rPr>
          <w:rFonts w:hint="eastAsia" w:ascii="仿宋_GB2312" w:hAnsi="仿宋_GB2312" w:eastAsia="仿宋_GB2312" w:cs="仿宋_GB2312"/>
          <w:sz w:val="52"/>
          <w:szCs w:val="52"/>
        </w:rPr>
      </w:pPr>
    </w:p>
    <w:p>
      <w:pPr>
        <w:spacing w:line="567" w:lineRule="exact"/>
        <w:jc w:val="center"/>
        <w:rPr>
          <w:rFonts w:hint="eastAsia" w:ascii="仿宋_GB2312" w:hAnsi="仿宋_GB2312" w:eastAsia="仿宋_GB2312" w:cs="仿宋_GB2312"/>
          <w:sz w:val="52"/>
          <w:szCs w:val="52"/>
        </w:rPr>
      </w:pPr>
    </w:p>
    <w:p>
      <w:pPr>
        <w:spacing w:line="567" w:lineRule="exact"/>
        <w:jc w:val="center"/>
        <w:rPr>
          <w:rFonts w:hint="eastAsia" w:ascii="仿宋_GB2312" w:hAnsi="仿宋_GB2312" w:eastAsia="仿宋_GB2312" w:cs="仿宋_GB2312"/>
          <w:sz w:val="52"/>
          <w:szCs w:val="52"/>
        </w:rPr>
      </w:pPr>
    </w:p>
    <w:p>
      <w:pPr>
        <w:spacing w:line="567" w:lineRule="exact"/>
        <w:jc w:val="center"/>
        <w:rPr>
          <w:rFonts w:hint="eastAsia" w:ascii="仿宋_GB2312" w:hAnsi="仿宋_GB2312" w:eastAsia="仿宋_GB2312" w:cs="仿宋_GB2312"/>
          <w:sz w:val="52"/>
          <w:szCs w:val="52"/>
        </w:rPr>
      </w:pPr>
    </w:p>
    <w:p>
      <w:pPr>
        <w:spacing w:line="567" w:lineRule="exact"/>
        <w:jc w:val="center"/>
        <w:rPr>
          <w:rFonts w:hint="eastAsia" w:ascii="仿宋_GB2312" w:hAnsi="仿宋_GB2312" w:eastAsia="仿宋_GB2312" w:cs="仿宋_GB2312"/>
          <w:sz w:val="52"/>
          <w:szCs w:val="52"/>
        </w:rPr>
      </w:pPr>
    </w:p>
    <w:p>
      <w:pPr>
        <w:spacing w:line="567" w:lineRule="exact"/>
        <w:jc w:val="both"/>
        <w:rPr>
          <w:rFonts w:hint="eastAsia" w:ascii="仿宋_GB2312" w:hAnsi="仿宋_GB2312" w:eastAsia="仿宋_GB2312" w:cs="仿宋_GB2312"/>
          <w:sz w:val="52"/>
          <w:szCs w:val="52"/>
        </w:rPr>
      </w:pPr>
    </w:p>
    <w:p>
      <w:pPr>
        <w:spacing w:line="567" w:lineRule="exact"/>
        <w:jc w:val="center"/>
        <w:rPr>
          <w:rFonts w:hint="eastAsia" w:ascii="仿宋_GB2312" w:hAnsi="仿宋_GB2312" w:eastAsia="仿宋_GB2312" w:cs="仿宋_GB2312"/>
          <w:sz w:val="52"/>
          <w:szCs w:val="52"/>
        </w:rPr>
        <w:sectPr>
          <w:type w:val="continuous"/>
          <w:pgSz w:w="11906" w:h="16838"/>
          <w:pgMar w:top="2211" w:right="1418" w:bottom="1871" w:left="1531" w:header="851" w:footer="992" w:gutter="0"/>
          <w:cols w:space="720" w:num="1"/>
          <w:docGrid w:type="lines" w:linePitch="312"/>
        </w:sectPr>
      </w:pPr>
    </w:p>
    <w:tbl>
      <w:tblPr>
        <w:tblW w:w="10380" w:type="dxa"/>
        <w:tblInd w:w="-8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45"/>
        <w:gridCol w:w="717"/>
        <w:gridCol w:w="1608"/>
        <w:gridCol w:w="1155"/>
        <w:gridCol w:w="1140"/>
        <w:gridCol w:w="1215"/>
        <w:gridCol w:w="288"/>
        <w:gridCol w:w="876"/>
        <w:gridCol w:w="51"/>
        <w:gridCol w:w="1215"/>
        <w:gridCol w:w="1170"/>
      </w:tblGrid>
      <w:tr>
        <w:trPr>
          <w:trHeight w:val="375" w:hRule="atLeast"/>
        </w:trPr>
        <w:tc>
          <w:tcPr>
            <w:tcW w:w="10380" w:type="dxa"/>
            <w:gridSpan w:val="11"/>
            <w:vAlign w:val="bottom"/>
          </w:tcPr>
          <w:p>
            <w:pPr>
              <w:widowControl/>
              <w:spacing w:line="567" w:lineRule="exact"/>
              <w:jc w:val="center"/>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政府性基金预算财政拨款收入支出决算表</w:t>
            </w:r>
          </w:p>
        </w:tc>
      </w:tr>
      <w:tr>
        <w:trPr>
          <w:trHeight w:val="285" w:hRule="atLeast"/>
        </w:trPr>
        <w:tc>
          <w:tcPr>
            <w:tcW w:w="1662"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1608" w:type="dxa"/>
            <w:vAlign w:val="center"/>
          </w:tcPr>
          <w:p>
            <w:pPr>
              <w:spacing w:line="567" w:lineRule="exact"/>
              <w:jc w:val="center"/>
              <w:rPr>
                <w:rFonts w:hint="eastAsia" w:ascii="仿宋_GB2312" w:hAnsi="仿宋_GB2312" w:eastAsia="仿宋_GB2312" w:cs="仿宋_GB2312"/>
                <w:color w:val="000000"/>
                <w:sz w:val="16"/>
                <w:szCs w:val="16"/>
              </w:rPr>
            </w:pPr>
          </w:p>
        </w:tc>
        <w:tc>
          <w:tcPr>
            <w:tcW w:w="1155" w:type="dxa"/>
            <w:vAlign w:val="center"/>
          </w:tcPr>
          <w:p>
            <w:pPr>
              <w:spacing w:line="567" w:lineRule="exact"/>
              <w:jc w:val="center"/>
              <w:rPr>
                <w:rFonts w:hint="eastAsia" w:ascii="仿宋_GB2312" w:hAnsi="仿宋_GB2312" w:eastAsia="仿宋_GB2312" w:cs="仿宋_GB2312"/>
                <w:color w:val="000000"/>
                <w:sz w:val="16"/>
                <w:szCs w:val="16"/>
              </w:rPr>
            </w:pPr>
          </w:p>
        </w:tc>
        <w:tc>
          <w:tcPr>
            <w:tcW w:w="1140" w:type="dxa"/>
            <w:vAlign w:val="center"/>
          </w:tcPr>
          <w:p>
            <w:pPr>
              <w:spacing w:line="567" w:lineRule="exact"/>
              <w:jc w:val="center"/>
              <w:rPr>
                <w:rFonts w:hint="eastAsia" w:ascii="仿宋_GB2312" w:hAnsi="仿宋_GB2312" w:eastAsia="仿宋_GB2312" w:cs="仿宋_GB2312"/>
                <w:color w:val="000000"/>
                <w:sz w:val="16"/>
                <w:szCs w:val="16"/>
              </w:rPr>
            </w:pPr>
          </w:p>
        </w:tc>
        <w:tc>
          <w:tcPr>
            <w:tcW w:w="1503"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876" w:type="dxa"/>
            <w:vAlign w:val="center"/>
          </w:tcPr>
          <w:p>
            <w:pPr>
              <w:spacing w:line="567" w:lineRule="exact"/>
              <w:jc w:val="center"/>
              <w:rPr>
                <w:rFonts w:hint="eastAsia" w:ascii="仿宋_GB2312" w:hAnsi="仿宋_GB2312" w:eastAsia="仿宋_GB2312" w:cs="仿宋_GB2312"/>
                <w:color w:val="000000"/>
                <w:sz w:val="16"/>
                <w:szCs w:val="16"/>
              </w:rPr>
            </w:pPr>
          </w:p>
        </w:tc>
        <w:tc>
          <w:tcPr>
            <w:tcW w:w="1266"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1170" w:type="dxa"/>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公开08表</w:t>
            </w:r>
          </w:p>
        </w:tc>
      </w:tr>
      <w:tr>
        <w:trPr>
          <w:trHeight w:val="270" w:hRule="atLeast"/>
        </w:trPr>
        <w:tc>
          <w:tcPr>
            <w:tcW w:w="1662" w:type="dxa"/>
            <w:gridSpan w:val="2"/>
            <w:vAlign w:val="center"/>
          </w:tcPr>
          <w:p>
            <w:pPr>
              <w:spacing w:line="567" w:lineRule="exact"/>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部门：</w:t>
            </w:r>
          </w:p>
        </w:tc>
        <w:tc>
          <w:tcPr>
            <w:tcW w:w="1608" w:type="dxa"/>
            <w:vAlign w:val="center"/>
          </w:tcPr>
          <w:p>
            <w:pPr>
              <w:spacing w:line="567" w:lineRule="exact"/>
              <w:jc w:val="both"/>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郑州市工商联</w:t>
            </w:r>
          </w:p>
        </w:tc>
        <w:tc>
          <w:tcPr>
            <w:tcW w:w="1155" w:type="dxa"/>
            <w:vAlign w:val="center"/>
          </w:tcPr>
          <w:p>
            <w:pPr>
              <w:spacing w:line="567" w:lineRule="exact"/>
              <w:jc w:val="center"/>
              <w:rPr>
                <w:rFonts w:hint="eastAsia" w:ascii="仿宋_GB2312" w:hAnsi="仿宋_GB2312" w:eastAsia="仿宋_GB2312" w:cs="仿宋_GB2312"/>
                <w:color w:val="000000"/>
                <w:sz w:val="16"/>
                <w:szCs w:val="16"/>
              </w:rPr>
            </w:pPr>
          </w:p>
        </w:tc>
        <w:tc>
          <w:tcPr>
            <w:tcW w:w="1140" w:type="dxa"/>
            <w:vAlign w:val="center"/>
          </w:tcPr>
          <w:p>
            <w:pPr>
              <w:spacing w:line="567" w:lineRule="exact"/>
              <w:jc w:val="center"/>
              <w:rPr>
                <w:rFonts w:hint="eastAsia" w:ascii="仿宋_GB2312" w:hAnsi="仿宋_GB2312" w:eastAsia="仿宋_GB2312" w:cs="仿宋_GB2312"/>
                <w:color w:val="000000"/>
                <w:sz w:val="16"/>
                <w:szCs w:val="16"/>
              </w:rPr>
            </w:pPr>
          </w:p>
        </w:tc>
        <w:tc>
          <w:tcPr>
            <w:tcW w:w="1503"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876" w:type="dxa"/>
            <w:vAlign w:val="center"/>
          </w:tcPr>
          <w:p>
            <w:pPr>
              <w:spacing w:line="567" w:lineRule="exact"/>
              <w:jc w:val="center"/>
              <w:rPr>
                <w:rFonts w:hint="eastAsia" w:ascii="仿宋_GB2312" w:hAnsi="仿宋_GB2312" w:eastAsia="仿宋_GB2312" w:cs="仿宋_GB2312"/>
                <w:color w:val="000000"/>
                <w:sz w:val="16"/>
                <w:szCs w:val="16"/>
              </w:rPr>
            </w:pPr>
          </w:p>
        </w:tc>
        <w:tc>
          <w:tcPr>
            <w:tcW w:w="1266" w:type="dxa"/>
            <w:gridSpan w:val="2"/>
            <w:vAlign w:val="center"/>
          </w:tcPr>
          <w:p>
            <w:pPr>
              <w:spacing w:line="567" w:lineRule="exact"/>
              <w:jc w:val="center"/>
              <w:rPr>
                <w:rFonts w:hint="eastAsia" w:ascii="仿宋_GB2312" w:hAnsi="仿宋_GB2312" w:eastAsia="仿宋_GB2312" w:cs="仿宋_GB2312"/>
                <w:color w:val="000000"/>
                <w:sz w:val="16"/>
                <w:szCs w:val="16"/>
              </w:rPr>
            </w:pPr>
          </w:p>
        </w:tc>
        <w:tc>
          <w:tcPr>
            <w:tcW w:w="1170" w:type="dxa"/>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金额单位：万元</w:t>
            </w:r>
          </w:p>
        </w:tc>
      </w:tr>
      <w:tr>
        <w:trPr>
          <w:trHeight w:val="285" w:hRule="atLeast"/>
        </w:trPr>
        <w:tc>
          <w:tcPr>
            <w:tcW w:w="3270" w:type="dxa"/>
            <w:gridSpan w:val="3"/>
            <w:tcBorders>
              <w:top w:val="single" w:color="000000" w:sz="12"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项　　目</w:t>
            </w:r>
          </w:p>
        </w:tc>
        <w:tc>
          <w:tcPr>
            <w:tcW w:w="1155" w:type="dxa"/>
            <w:vMerge w:val="restart"/>
            <w:tcBorders>
              <w:top w:val="single" w:color="000000" w:sz="12"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年初结转和结余</w:t>
            </w:r>
          </w:p>
        </w:tc>
        <w:tc>
          <w:tcPr>
            <w:tcW w:w="1140" w:type="dxa"/>
            <w:vMerge w:val="restart"/>
            <w:tcBorders>
              <w:top w:val="single" w:color="000000" w:sz="12"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本年收入</w:t>
            </w:r>
          </w:p>
        </w:tc>
        <w:tc>
          <w:tcPr>
            <w:tcW w:w="3645" w:type="dxa"/>
            <w:gridSpan w:val="5"/>
            <w:tcBorders>
              <w:top w:val="single" w:color="000000" w:sz="12"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本年支出</w:t>
            </w:r>
          </w:p>
        </w:tc>
        <w:tc>
          <w:tcPr>
            <w:tcW w:w="1170" w:type="dxa"/>
            <w:vMerge w:val="restart"/>
            <w:tcBorders>
              <w:top w:val="single" w:color="000000" w:sz="12"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年末结转和结余</w:t>
            </w:r>
          </w:p>
        </w:tc>
      </w:tr>
      <w:tr>
        <w:trPr>
          <w:trHeight w:val="409"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功能分类</w:t>
            </w:r>
            <w:r>
              <w:rPr>
                <w:rFonts w:hint="eastAsia" w:ascii="仿宋_GB2312" w:hAnsi="仿宋_GB2312" w:eastAsia="仿宋_GB2312" w:cs="仿宋_GB2312"/>
                <w:b/>
                <w:color w:val="000000"/>
                <w:kern w:val="0"/>
                <w:sz w:val="16"/>
                <w:szCs w:val="16"/>
              </w:rPr>
              <w:br/>
            </w:r>
            <w:r>
              <w:rPr>
                <w:rFonts w:hint="eastAsia" w:ascii="仿宋_GB2312" w:hAnsi="仿宋_GB2312" w:eastAsia="仿宋_GB2312" w:cs="仿宋_GB2312"/>
                <w:b/>
                <w:color w:val="000000"/>
                <w:kern w:val="0"/>
                <w:sz w:val="16"/>
                <w:szCs w:val="16"/>
              </w:rPr>
              <w:t>科目编码</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科目名称</w:t>
            </w:r>
          </w:p>
        </w:tc>
        <w:tc>
          <w:tcPr>
            <w:tcW w:w="1155" w:type="dxa"/>
            <w:vMerge w:val="continue"/>
            <w:tcBorders>
              <w:top w:val="single" w:color="000000" w:sz="12"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rPr>
            </w:pPr>
          </w:p>
        </w:tc>
        <w:tc>
          <w:tcPr>
            <w:tcW w:w="1140" w:type="dxa"/>
            <w:vMerge w:val="continue"/>
            <w:tcBorders>
              <w:top w:val="single" w:color="000000" w:sz="12" w:space="0"/>
              <w:left w:val="single" w:color="000000" w:sz="4" w:space="0"/>
              <w:bottom w:val="single" w:color="000000" w:sz="4" w:space="0"/>
              <w:right w:val="single" w:color="000000" w:sz="4" w:space="0"/>
            </w:tcBorders>
            <w:vAlign w:val="center"/>
          </w:tcPr>
          <w:p>
            <w:pPr>
              <w:spacing w:line="567" w:lineRule="exact"/>
              <w:jc w:val="center"/>
              <w:rPr>
                <w:rFonts w:hint="eastAsia" w:ascii="仿宋_GB2312" w:hAnsi="仿宋_GB2312" w:eastAsia="仿宋_GB2312" w:cs="仿宋_GB2312"/>
                <w:b/>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小计</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基本支出</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项目支出</w:t>
            </w:r>
          </w:p>
        </w:tc>
        <w:tc>
          <w:tcPr>
            <w:tcW w:w="1170" w:type="dxa"/>
            <w:vMerge w:val="continue"/>
            <w:tcBorders>
              <w:top w:val="single" w:color="000000" w:sz="12" w:space="0"/>
              <w:left w:val="single" w:color="000000" w:sz="4" w:space="0"/>
              <w:bottom w:val="single" w:color="000000" w:sz="4" w:space="0"/>
              <w:right w:val="single" w:color="000000" w:sz="12" w:space="0"/>
            </w:tcBorders>
            <w:vAlign w:val="center"/>
          </w:tcPr>
          <w:p>
            <w:pPr>
              <w:spacing w:line="567" w:lineRule="exact"/>
              <w:jc w:val="center"/>
              <w:rPr>
                <w:rFonts w:hint="eastAsia" w:ascii="仿宋_GB2312" w:hAnsi="仿宋_GB2312" w:eastAsia="仿宋_GB2312" w:cs="仿宋_GB2312"/>
                <w:b/>
                <w:color w:val="000000"/>
                <w:sz w:val="16"/>
                <w:szCs w:val="16"/>
              </w:rPr>
            </w:pPr>
          </w:p>
        </w:tc>
      </w:tr>
      <w:tr>
        <w:trPr>
          <w:trHeight w:val="285" w:hRule="atLeast"/>
        </w:trPr>
        <w:tc>
          <w:tcPr>
            <w:tcW w:w="3270" w:type="dxa"/>
            <w:gridSpan w:val="3"/>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栏次</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1</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2</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3</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4</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5</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6</w:t>
            </w:r>
          </w:p>
        </w:tc>
      </w:tr>
      <w:tr>
        <w:trPr>
          <w:trHeight w:val="285" w:hRule="atLeast"/>
        </w:trPr>
        <w:tc>
          <w:tcPr>
            <w:tcW w:w="3270" w:type="dxa"/>
            <w:gridSpan w:val="3"/>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合计</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r>
      <w:tr>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207</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文化体育与传媒支出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r>
      <w:tr>
        <w:trPr>
          <w:trHeight w:val="420"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20707</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国家电影事业发展专项资金及对应专项债务收入安排的支出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2070701</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资助国产影片放映</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2070702</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资助城市影院</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2070703</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资助少数民族电影译制</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420"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2070799</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其他国家电影事业发展专项资金支出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208</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r>
              <w:rPr>
                <w:rFonts w:hint="eastAsia" w:ascii="仿宋_GB2312" w:hAnsi="仿宋_GB2312" w:eastAsia="仿宋_GB2312" w:cs="仿宋_GB2312"/>
                <w:b/>
                <w:color w:val="000000"/>
                <w:kern w:val="0"/>
                <w:sz w:val="16"/>
                <w:szCs w:val="16"/>
              </w:rPr>
              <w:t>社会保障和就业支出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b/>
                <w:color w:val="000000"/>
                <w:sz w:val="16"/>
                <w:szCs w:val="16"/>
              </w:rPr>
            </w:pPr>
          </w:p>
        </w:tc>
      </w:tr>
      <w:tr>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20822</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大中型水库移民后期扶持基金支出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sz w:val="16"/>
                <w:szCs w:val="16"/>
              </w:rPr>
            </w:pPr>
          </w:p>
        </w:tc>
      </w:tr>
      <w:tr>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2320499</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其他政府性基金债务付息支出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kern w:val="0"/>
                <w:sz w:val="16"/>
                <w:szCs w:val="16"/>
              </w:rPr>
            </w:pP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kern w:val="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kern w:val="0"/>
                <w:sz w:val="16"/>
                <w:szCs w:val="16"/>
              </w:rPr>
            </w:pP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kern w:val="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567" w:lineRule="exact"/>
              <w:jc w:val="center"/>
              <w:textAlignment w:val="center"/>
              <w:rPr>
                <w:rFonts w:hint="eastAsia" w:ascii="仿宋_GB2312" w:hAnsi="仿宋_GB2312" w:eastAsia="仿宋_GB2312" w:cs="仿宋_GB2312"/>
                <w:color w:val="000000"/>
                <w:kern w:val="0"/>
                <w:sz w:val="16"/>
                <w:szCs w:val="16"/>
              </w:rPr>
            </w:pP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spacing w:line="567" w:lineRule="exact"/>
              <w:jc w:val="center"/>
              <w:textAlignment w:val="center"/>
              <w:rPr>
                <w:rFonts w:hint="eastAsia" w:ascii="仿宋_GB2312" w:hAnsi="仿宋_GB2312" w:eastAsia="仿宋_GB2312" w:cs="仿宋_GB2312"/>
                <w:color w:val="000000"/>
                <w:kern w:val="0"/>
                <w:sz w:val="16"/>
                <w:szCs w:val="16"/>
              </w:rPr>
            </w:pPr>
          </w:p>
        </w:tc>
      </w:tr>
      <w:tr>
        <w:trPr>
          <w:trHeight w:val="285" w:hRule="atLeast"/>
        </w:trPr>
        <w:tc>
          <w:tcPr>
            <w:tcW w:w="10380" w:type="dxa"/>
            <w:gridSpan w:val="11"/>
            <w:vAlign w:val="center"/>
          </w:tcPr>
          <w:p>
            <w:pPr>
              <w:widowControl/>
              <w:spacing w:line="567" w:lineRule="exact"/>
              <w:jc w:val="both"/>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kern w:val="0"/>
                <w:sz w:val="20"/>
                <w:szCs w:val="20"/>
              </w:rPr>
              <w:t>说明：本部门没有政府性基金收入，也没有使用政府性基金安排的支出，故本表无数据。</w:t>
            </w:r>
          </w:p>
        </w:tc>
      </w:tr>
    </w:tbl>
    <w:p>
      <w:pPr>
        <w:spacing w:line="567" w:lineRule="exact"/>
        <w:jc w:val="center"/>
        <w:rPr>
          <w:rFonts w:hint="eastAsia" w:ascii="仿宋_GB2312" w:hAnsi="仿宋_GB2312" w:eastAsia="仿宋_GB2312" w:cs="仿宋_GB2312"/>
          <w:sz w:val="48"/>
          <w:szCs w:val="48"/>
        </w:rPr>
      </w:pPr>
    </w:p>
    <w:p>
      <w:pPr>
        <w:spacing w:line="567" w:lineRule="exact"/>
        <w:jc w:val="center"/>
        <w:rPr>
          <w:rFonts w:hint="eastAsia" w:ascii="仿宋_GB2312" w:hAnsi="仿宋_GB2312" w:eastAsia="仿宋_GB2312" w:cs="仿宋_GB2312"/>
          <w:sz w:val="48"/>
          <w:szCs w:val="48"/>
        </w:rPr>
      </w:pPr>
      <w:r>
        <w:rPr>
          <w:rFonts w:hint="eastAsia" w:ascii="仿宋_GB2312" w:hAnsi="仿宋_GB2312" w:eastAsia="仿宋_GB2312" w:cs="仿宋_GB2312"/>
          <w:sz w:val="48"/>
          <w:szCs w:val="48"/>
        </w:rPr>
        <w:t>第三部分</w:t>
      </w:r>
    </w:p>
    <w:p>
      <w:pPr>
        <w:widowControl/>
        <w:spacing w:line="567" w:lineRule="exact"/>
        <w:jc w:val="center"/>
        <w:rPr>
          <w:rFonts w:hint="eastAsia" w:ascii="仿宋_GB2312" w:hAnsi="仿宋_GB2312" w:eastAsia="仿宋_GB2312" w:cs="仿宋_GB2312"/>
          <w:sz w:val="48"/>
          <w:szCs w:val="48"/>
        </w:rPr>
      </w:pPr>
    </w:p>
    <w:p>
      <w:pPr>
        <w:widowControl/>
        <w:spacing w:line="567" w:lineRule="exact"/>
        <w:jc w:val="center"/>
        <w:rPr>
          <w:rFonts w:hint="eastAsia" w:ascii="仿宋_GB2312" w:hAnsi="仿宋_GB2312" w:eastAsia="仿宋_GB2312" w:cs="仿宋_GB2312"/>
          <w:sz w:val="48"/>
          <w:szCs w:val="48"/>
        </w:rPr>
      </w:pPr>
      <w:r>
        <w:rPr>
          <w:rFonts w:hint="eastAsia" w:ascii="仿宋_GB2312" w:hAnsi="仿宋_GB2312" w:eastAsia="仿宋_GB2312" w:cs="仿宋_GB2312"/>
          <w:sz w:val="48"/>
          <w:szCs w:val="48"/>
        </w:rPr>
        <w:t>2017年度部门决算情况说明</w:t>
      </w:r>
    </w:p>
    <w:p>
      <w:pPr>
        <w:widowControl/>
        <w:spacing w:line="567" w:lineRule="exact"/>
        <w:jc w:val="center"/>
        <w:rPr>
          <w:rFonts w:hint="eastAsia" w:ascii="仿宋_GB2312" w:hAnsi="仿宋_GB2312" w:eastAsia="仿宋_GB2312" w:cs="仿宋_GB2312"/>
          <w:sz w:val="48"/>
          <w:szCs w:val="48"/>
        </w:rPr>
        <w:sectPr>
          <w:footerReference r:id="rId10" w:type="default"/>
          <w:type w:val="continuous"/>
          <w:pgSz w:w="11906" w:h="16838"/>
          <w:pgMar w:top="2211" w:right="1418" w:bottom="1871" w:left="1531" w:header="720" w:footer="720" w:gutter="0"/>
          <w:cols w:space="720" w:num="1"/>
          <w:docGrid w:type="lines" w:linePitch="312"/>
        </w:sectPr>
      </w:pP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一、收入支出决算总体情况说明</w:t>
      </w:r>
    </w:p>
    <w:p>
      <w:pPr>
        <w:tabs>
          <w:tab w:val="left" w:pos="5387"/>
        </w:tabs>
        <w:adjustRightInd w:val="0"/>
        <w:snapToGrid w:val="0"/>
        <w:spacing w:line="567" w:lineRule="exact"/>
        <w:ind w:firstLine="640" w:firstLineChars="200"/>
        <w:jc w:val="left"/>
        <w:rPr>
          <w:rFonts w:hint="eastAsia" w:ascii="仿宋_GB2312" w:hAnsi="仿宋_GB2312" w:eastAsia="仿宋_GB2312" w:cs="仿宋_GB2312"/>
          <w:sz w:val="32"/>
          <w:szCs w:val="32"/>
          <w:highlight w:val="none"/>
          <w:shd w:val="clear" w:color="auto" w:fill="auto"/>
        </w:rPr>
      </w:pPr>
      <w:r>
        <w:rPr>
          <w:rFonts w:hint="eastAsia" w:ascii="仿宋_GB2312" w:hAnsi="仿宋_GB2312" w:eastAsia="仿宋_GB2312" w:cs="仿宋_GB2312"/>
          <w:sz w:val="32"/>
          <w:szCs w:val="32"/>
          <w:shd w:val="clear" w:color="auto" w:fill="auto"/>
        </w:rPr>
        <w:t>2017年度收、支总计均为</w:t>
      </w:r>
      <w:r>
        <w:rPr>
          <w:rFonts w:hint="eastAsia" w:ascii="仿宋_GB2312" w:hAnsi="仿宋_GB2312" w:eastAsia="仿宋_GB2312" w:cs="仿宋_GB2312"/>
          <w:sz w:val="32"/>
          <w:szCs w:val="32"/>
          <w:shd w:val="clear" w:color="auto" w:fill="auto"/>
          <w:lang w:val="en-US" w:eastAsia="zh-CN"/>
        </w:rPr>
        <w:t>512.99</w:t>
      </w:r>
      <w:r>
        <w:rPr>
          <w:rFonts w:hint="eastAsia" w:ascii="仿宋_GB2312" w:hAnsi="仿宋_GB2312" w:eastAsia="仿宋_GB2312" w:cs="仿宋_GB2312"/>
          <w:sz w:val="32"/>
          <w:szCs w:val="32"/>
          <w:shd w:val="clear" w:color="auto" w:fill="auto"/>
        </w:rPr>
        <w:t>万元。与2016年度相比，收、支总计各减少</w:t>
      </w:r>
      <w:r>
        <w:rPr>
          <w:rFonts w:hint="eastAsia" w:ascii="仿宋_GB2312" w:hAnsi="仿宋_GB2312" w:eastAsia="仿宋_GB2312" w:cs="仿宋_GB2312"/>
          <w:sz w:val="32"/>
          <w:szCs w:val="32"/>
          <w:shd w:val="clear" w:color="auto" w:fill="auto"/>
          <w:lang w:val="en-US" w:eastAsia="zh-CN"/>
        </w:rPr>
        <w:t>85.27</w:t>
      </w:r>
      <w:r>
        <w:rPr>
          <w:rFonts w:hint="eastAsia" w:ascii="仿宋_GB2312" w:hAnsi="仿宋_GB2312" w:eastAsia="仿宋_GB2312" w:cs="仿宋_GB2312"/>
          <w:sz w:val="32"/>
          <w:szCs w:val="32"/>
          <w:shd w:val="clear" w:color="auto" w:fill="auto"/>
        </w:rPr>
        <w:t>万元，下降</w:t>
      </w:r>
      <w:r>
        <w:rPr>
          <w:rFonts w:hint="eastAsia" w:ascii="仿宋_GB2312" w:hAnsi="仿宋_GB2312" w:eastAsia="仿宋_GB2312" w:cs="仿宋_GB2312"/>
          <w:sz w:val="32"/>
          <w:szCs w:val="32"/>
          <w:shd w:val="clear" w:color="auto" w:fill="auto"/>
          <w:lang w:val="en-US" w:eastAsia="zh-CN"/>
        </w:rPr>
        <w:t>14.25</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highlight w:val="none"/>
          <w:shd w:val="clear" w:color="auto" w:fill="auto"/>
        </w:rPr>
        <w:t>主要原因是</w:t>
      </w:r>
      <w:r>
        <w:rPr>
          <w:rFonts w:hint="eastAsia" w:ascii="仿宋_GB2312" w:hAnsi="仿宋_GB2312" w:eastAsia="仿宋_GB2312" w:cs="仿宋_GB2312"/>
          <w:sz w:val="32"/>
          <w:szCs w:val="32"/>
          <w:highlight w:val="none"/>
          <w:shd w:val="clear" w:color="auto" w:fill="auto"/>
          <w:lang w:val="en-US" w:eastAsia="zh-CN"/>
        </w:rPr>
        <w:t>1、递减财政5%的资金，2、追加2016年的项目经费减少，3、在职人员减少</w:t>
      </w:r>
      <w:r>
        <w:rPr>
          <w:rFonts w:hint="eastAsia" w:ascii="仿宋_GB2312" w:hAnsi="仿宋_GB2312" w:eastAsia="仿宋_GB2312" w:cs="仿宋_GB2312"/>
          <w:sz w:val="32"/>
          <w:szCs w:val="32"/>
          <w:highlight w:val="none"/>
          <w:shd w:val="clear" w:color="auto" w:fill="auto"/>
        </w:rPr>
        <w:t>。</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二、收入决算情况说明</w:t>
      </w:r>
    </w:p>
    <w:p>
      <w:pPr>
        <w:tabs>
          <w:tab w:val="left" w:pos="5387"/>
        </w:tabs>
        <w:adjustRightInd w:val="0"/>
        <w:snapToGrid w:val="0"/>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2017年度收入合计</w:t>
      </w:r>
      <w:r>
        <w:rPr>
          <w:rFonts w:hint="eastAsia" w:ascii="仿宋_GB2312" w:hAnsi="仿宋_GB2312" w:eastAsia="仿宋_GB2312" w:cs="仿宋_GB2312"/>
          <w:sz w:val="32"/>
          <w:szCs w:val="32"/>
          <w:shd w:val="clear" w:color="auto" w:fill="auto"/>
          <w:lang w:val="en-US" w:eastAsia="zh-CN"/>
        </w:rPr>
        <w:t>512.99</w:t>
      </w:r>
      <w:r>
        <w:rPr>
          <w:rFonts w:hint="eastAsia" w:ascii="仿宋_GB2312" w:hAnsi="仿宋_GB2312" w:eastAsia="仿宋_GB2312" w:cs="仿宋_GB2312"/>
          <w:sz w:val="32"/>
          <w:szCs w:val="32"/>
          <w:shd w:val="clear" w:color="auto" w:fill="auto"/>
        </w:rPr>
        <w:t>万元，其中：财政拨款收入</w:t>
      </w:r>
      <w:r>
        <w:rPr>
          <w:rFonts w:hint="eastAsia" w:ascii="仿宋_GB2312" w:hAnsi="仿宋_GB2312" w:eastAsia="仿宋_GB2312" w:cs="仿宋_GB2312"/>
          <w:sz w:val="32"/>
          <w:szCs w:val="32"/>
          <w:shd w:val="clear" w:color="auto" w:fill="auto"/>
          <w:lang w:val="en-US" w:eastAsia="zh-CN"/>
        </w:rPr>
        <w:t>512.99</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100.00</w:t>
      </w:r>
      <w:r>
        <w:rPr>
          <w:rFonts w:hint="eastAsia" w:ascii="仿宋_GB2312" w:hAnsi="仿宋_GB2312" w:eastAsia="仿宋_GB2312" w:cs="仿宋_GB2312"/>
          <w:sz w:val="32"/>
          <w:szCs w:val="32"/>
          <w:shd w:val="clear" w:color="auto" w:fill="auto"/>
        </w:rPr>
        <w:t>%；上级补助收入</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%；事业收入</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%；经营收入万元，占</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%；附属单位上缴收入</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%；其他收入</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三、支出决算情况说明</w:t>
      </w:r>
    </w:p>
    <w:p>
      <w:pPr>
        <w:tabs>
          <w:tab w:val="left" w:pos="5387"/>
        </w:tabs>
        <w:adjustRightInd w:val="0"/>
        <w:snapToGrid w:val="0"/>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2017年度支出合计</w:t>
      </w:r>
      <w:r>
        <w:rPr>
          <w:rFonts w:hint="eastAsia" w:ascii="仿宋_GB2312" w:hAnsi="仿宋_GB2312" w:eastAsia="仿宋_GB2312" w:cs="仿宋_GB2312"/>
          <w:sz w:val="32"/>
          <w:szCs w:val="32"/>
          <w:shd w:val="clear" w:color="auto" w:fill="auto"/>
          <w:lang w:val="en-US" w:eastAsia="zh-CN"/>
        </w:rPr>
        <w:t>512.99</w:t>
      </w:r>
      <w:r>
        <w:rPr>
          <w:rFonts w:hint="eastAsia" w:ascii="仿宋_GB2312" w:hAnsi="仿宋_GB2312" w:eastAsia="仿宋_GB2312" w:cs="仿宋_GB2312"/>
          <w:sz w:val="32"/>
          <w:szCs w:val="32"/>
          <w:shd w:val="clear" w:color="auto" w:fill="auto"/>
        </w:rPr>
        <w:t>万元，其中：基本支出</w:t>
      </w:r>
      <w:r>
        <w:rPr>
          <w:rFonts w:hint="eastAsia" w:ascii="仿宋_GB2312" w:hAnsi="仿宋_GB2312" w:eastAsia="仿宋_GB2312" w:cs="仿宋_GB2312"/>
          <w:sz w:val="32"/>
          <w:szCs w:val="32"/>
          <w:shd w:val="clear" w:color="auto" w:fill="auto"/>
          <w:lang w:val="en-US" w:eastAsia="zh-CN"/>
        </w:rPr>
        <w:t>455.50</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88</w:t>
      </w:r>
      <w:r>
        <w:rPr>
          <w:rFonts w:hint="eastAsia" w:ascii="仿宋_GB2312" w:hAnsi="仿宋_GB2312" w:eastAsia="仿宋_GB2312" w:cs="仿宋_GB2312"/>
          <w:sz w:val="32"/>
          <w:szCs w:val="32"/>
          <w:shd w:val="clear" w:color="auto" w:fill="auto"/>
        </w:rPr>
        <w:t>%；项目支出</w:t>
      </w:r>
      <w:r>
        <w:rPr>
          <w:rFonts w:hint="eastAsia" w:ascii="仿宋_GB2312" w:hAnsi="仿宋_GB2312" w:eastAsia="仿宋_GB2312" w:cs="仿宋_GB2312"/>
          <w:sz w:val="32"/>
          <w:szCs w:val="32"/>
          <w:shd w:val="clear" w:color="auto" w:fill="auto"/>
          <w:lang w:val="en-US" w:eastAsia="zh-CN"/>
        </w:rPr>
        <w:t>57.49</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11.21</w:t>
      </w:r>
      <w:r>
        <w:rPr>
          <w:rFonts w:hint="eastAsia" w:ascii="仿宋_GB2312" w:hAnsi="仿宋_GB2312" w:eastAsia="仿宋_GB2312" w:cs="仿宋_GB2312"/>
          <w:sz w:val="32"/>
          <w:szCs w:val="32"/>
          <w:shd w:val="clear" w:color="auto" w:fill="auto"/>
        </w:rPr>
        <w:t>%；上缴上级支出</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%；经营支出</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%；对附属单位补助支出</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四、财政拨款收入支出决算总体情况说明</w:t>
      </w:r>
    </w:p>
    <w:p>
      <w:pPr>
        <w:tabs>
          <w:tab w:val="left" w:pos="5387"/>
        </w:tabs>
        <w:adjustRightInd w:val="0"/>
        <w:snapToGrid w:val="0"/>
        <w:spacing w:line="567" w:lineRule="exact"/>
        <w:ind w:firstLine="640" w:firstLineChars="200"/>
        <w:jc w:val="left"/>
        <w:rPr>
          <w:rFonts w:hint="eastAsia" w:ascii="仿宋_GB2312" w:hAnsi="仿宋_GB2312" w:eastAsia="仿宋_GB2312" w:cs="仿宋_GB2312"/>
          <w:sz w:val="32"/>
          <w:szCs w:val="32"/>
          <w:highlight w:val="none"/>
          <w:shd w:val="clear" w:color="auto" w:fill="auto"/>
        </w:rPr>
      </w:pPr>
      <w:r>
        <w:rPr>
          <w:rFonts w:hint="eastAsia" w:ascii="仿宋_GB2312" w:hAnsi="仿宋_GB2312" w:eastAsia="仿宋_GB2312" w:cs="仿宋_GB2312"/>
          <w:sz w:val="32"/>
          <w:szCs w:val="32"/>
          <w:shd w:val="clear" w:color="auto" w:fill="auto"/>
        </w:rPr>
        <w:t>2017年度财政拨款收、支总计均为</w:t>
      </w:r>
      <w:r>
        <w:rPr>
          <w:rFonts w:hint="eastAsia" w:ascii="仿宋_GB2312" w:hAnsi="仿宋_GB2312" w:eastAsia="仿宋_GB2312" w:cs="仿宋_GB2312"/>
          <w:sz w:val="32"/>
          <w:szCs w:val="32"/>
          <w:shd w:val="clear" w:color="auto" w:fill="auto"/>
          <w:lang w:val="en-US" w:eastAsia="zh-CN"/>
        </w:rPr>
        <w:t>512.99</w:t>
      </w:r>
      <w:r>
        <w:rPr>
          <w:rFonts w:hint="eastAsia" w:ascii="仿宋_GB2312" w:hAnsi="仿宋_GB2312" w:eastAsia="仿宋_GB2312" w:cs="仿宋_GB2312"/>
          <w:sz w:val="32"/>
          <w:szCs w:val="32"/>
          <w:shd w:val="clear" w:color="auto" w:fill="auto"/>
        </w:rPr>
        <w:t>万元。与2016年度相比，财政拨款收、支总计各减少</w:t>
      </w:r>
      <w:r>
        <w:rPr>
          <w:rFonts w:hint="eastAsia" w:ascii="仿宋_GB2312" w:hAnsi="仿宋_GB2312" w:eastAsia="仿宋_GB2312" w:cs="仿宋_GB2312"/>
          <w:sz w:val="32"/>
          <w:szCs w:val="32"/>
          <w:shd w:val="clear" w:color="auto" w:fill="auto"/>
          <w:lang w:val="en-US" w:eastAsia="zh-CN"/>
        </w:rPr>
        <w:t>85.27</w:t>
      </w:r>
      <w:r>
        <w:rPr>
          <w:rFonts w:hint="eastAsia" w:ascii="仿宋_GB2312" w:hAnsi="仿宋_GB2312" w:eastAsia="仿宋_GB2312" w:cs="仿宋_GB2312"/>
          <w:sz w:val="32"/>
          <w:szCs w:val="32"/>
          <w:shd w:val="clear" w:color="auto" w:fill="auto"/>
        </w:rPr>
        <w:t>万元，下降</w:t>
      </w:r>
      <w:r>
        <w:rPr>
          <w:rFonts w:hint="eastAsia" w:ascii="仿宋_GB2312" w:hAnsi="仿宋_GB2312" w:eastAsia="仿宋_GB2312" w:cs="仿宋_GB2312"/>
          <w:sz w:val="32"/>
          <w:szCs w:val="32"/>
          <w:shd w:val="clear" w:color="auto" w:fill="auto"/>
          <w:lang w:val="en-US" w:eastAsia="zh-CN"/>
        </w:rPr>
        <w:t>14.25</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highlight w:val="none"/>
          <w:shd w:val="clear" w:color="auto" w:fill="auto"/>
        </w:rPr>
        <w:t>主要原因是</w:t>
      </w:r>
      <w:r>
        <w:rPr>
          <w:rFonts w:hint="eastAsia" w:ascii="仿宋_GB2312" w:hAnsi="仿宋_GB2312" w:eastAsia="仿宋_GB2312" w:cs="仿宋_GB2312"/>
          <w:sz w:val="32"/>
          <w:szCs w:val="32"/>
          <w:highlight w:val="none"/>
          <w:shd w:val="clear" w:color="auto" w:fill="auto"/>
          <w:lang w:val="en-US" w:eastAsia="zh-CN"/>
        </w:rPr>
        <w:t>1、递减财政5%的资金，2、追加2016年的项目经费减少，3、在职人员减少人员工资减少</w:t>
      </w:r>
      <w:r>
        <w:rPr>
          <w:rFonts w:hint="eastAsia" w:ascii="仿宋_GB2312" w:hAnsi="仿宋_GB2312" w:eastAsia="仿宋_GB2312" w:cs="仿宋_GB2312"/>
          <w:sz w:val="32"/>
          <w:szCs w:val="32"/>
          <w:highlight w:val="none"/>
          <w:shd w:val="clear" w:color="auto" w:fill="auto"/>
        </w:rPr>
        <w:t>。</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五、一般公共预算财政拨款支出决算情况说明</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（一）总体情况</w:t>
      </w:r>
    </w:p>
    <w:p>
      <w:pPr>
        <w:tabs>
          <w:tab w:val="left" w:pos="5387"/>
        </w:tabs>
        <w:adjustRightInd w:val="0"/>
        <w:snapToGrid w:val="0"/>
        <w:spacing w:line="567" w:lineRule="exact"/>
        <w:ind w:firstLine="640" w:firstLineChars="200"/>
        <w:jc w:val="left"/>
        <w:rPr>
          <w:rFonts w:hint="eastAsia" w:ascii="仿宋_GB2312" w:hAnsi="仿宋_GB2312" w:eastAsia="仿宋_GB2312" w:cs="仿宋_GB2312"/>
          <w:sz w:val="32"/>
          <w:szCs w:val="32"/>
          <w:highlight w:val="none"/>
          <w:shd w:val="clear" w:color="auto" w:fill="auto"/>
        </w:rPr>
      </w:pPr>
      <w:r>
        <w:rPr>
          <w:rFonts w:hint="eastAsia" w:ascii="仿宋_GB2312" w:hAnsi="仿宋_GB2312" w:eastAsia="仿宋_GB2312" w:cs="仿宋_GB2312"/>
          <w:sz w:val="32"/>
          <w:szCs w:val="32"/>
          <w:shd w:val="clear" w:color="auto" w:fill="auto"/>
        </w:rPr>
        <w:t>2017年度一般公共预算财政拨款支出</w:t>
      </w:r>
      <w:r>
        <w:rPr>
          <w:rFonts w:hint="eastAsia" w:ascii="仿宋_GB2312" w:hAnsi="仿宋_GB2312" w:eastAsia="仿宋_GB2312" w:cs="仿宋_GB2312"/>
          <w:sz w:val="32"/>
          <w:szCs w:val="32"/>
          <w:shd w:val="clear" w:color="auto" w:fill="auto"/>
          <w:lang w:val="en-US" w:eastAsia="zh-CN"/>
        </w:rPr>
        <w:t>512.99</w:t>
      </w:r>
      <w:r>
        <w:rPr>
          <w:rFonts w:hint="eastAsia" w:ascii="仿宋_GB2312" w:hAnsi="仿宋_GB2312" w:eastAsia="仿宋_GB2312" w:cs="仿宋_GB2312"/>
          <w:sz w:val="32"/>
          <w:szCs w:val="32"/>
          <w:shd w:val="clear" w:color="auto" w:fill="auto"/>
        </w:rPr>
        <w:t>万元，占支出合计的</w:t>
      </w:r>
      <w:r>
        <w:rPr>
          <w:rFonts w:hint="eastAsia" w:ascii="仿宋_GB2312" w:hAnsi="仿宋_GB2312" w:eastAsia="仿宋_GB2312" w:cs="仿宋_GB2312"/>
          <w:sz w:val="32"/>
          <w:szCs w:val="32"/>
          <w:shd w:val="clear" w:color="auto" w:fill="auto"/>
          <w:lang w:val="en-US" w:eastAsia="zh-CN"/>
        </w:rPr>
        <w:t>100.00</w:t>
      </w:r>
      <w:r>
        <w:rPr>
          <w:rFonts w:hint="eastAsia" w:ascii="仿宋_GB2312" w:hAnsi="仿宋_GB2312" w:eastAsia="仿宋_GB2312" w:cs="仿宋_GB2312"/>
          <w:sz w:val="32"/>
          <w:szCs w:val="32"/>
          <w:shd w:val="clear" w:color="auto" w:fill="auto"/>
        </w:rPr>
        <w:t>%。与2016年度相比，一般公共预算财政拨款支出减少</w:t>
      </w:r>
      <w:r>
        <w:rPr>
          <w:rFonts w:hint="eastAsia" w:ascii="仿宋_GB2312" w:hAnsi="仿宋_GB2312" w:eastAsia="仿宋_GB2312" w:cs="仿宋_GB2312"/>
          <w:sz w:val="32"/>
          <w:szCs w:val="32"/>
          <w:shd w:val="clear" w:color="auto" w:fill="auto"/>
          <w:lang w:val="en-US" w:eastAsia="zh-CN"/>
        </w:rPr>
        <w:t>85.27</w:t>
      </w:r>
      <w:r>
        <w:rPr>
          <w:rFonts w:hint="eastAsia" w:ascii="仿宋_GB2312" w:hAnsi="仿宋_GB2312" w:eastAsia="仿宋_GB2312" w:cs="仿宋_GB2312"/>
          <w:sz w:val="32"/>
          <w:szCs w:val="32"/>
          <w:shd w:val="clear" w:color="auto" w:fill="auto"/>
        </w:rPr>
        <w:t>万元，下降</w:t>
      </w:r>
      <w:r>
        <w:rPr>
          <w:rFonts w:hint="eastAsia" w:ascii="仿宋_GB2312" w:hAnsi="仿宋_GB2312" w:eastAsia="仿宋_GB2312" w:cs="仿宋_GB2312"/>
          <w:sz w:val="32"/>
          <w:szCs w:val="32"/>
          <w:shd w:val="clear" w:color="auto" w:fill="auto"/>
          <w:lang w:val="en-US" w:eastAsia="zh-CN"/>
        </w:rPr>
        <w:t>14.25</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highlight w:val="none"/>
          <w:shd w:val="clear" w:color="auto" w:fill="auto"/>
        </w:rPr>
        <w:t>主要原因是</w:t>
      </w:r>
      <w:r>
        <w:rPr>
          <w:rFonts w:hint="eastAsia" w:ascii="仿宋_GB2312" w:hAnsi="仿宋_GB2312" w:eastAsia="仿宋_GB2312" w:cs="仿宋_GB2312"/>
          <w:sz w:val="32"/>
          <w:szCs w:val="32"/>
          <w:highlight w:val="none"/>
          <w:shd w:val="clear" w:color="auto" w:fill="auto"/>
          <w:lang w:val="en-US" w:eastAsia="zh-CN"/>
        </w:rPr>
        <w:t>1、递减财政5%的资金，2、追加2016年的项目经费减少，3、在职人员减少人员工资减少</w:t>
      </w:r>
      <w:r>
        <w:rPr>
          <w:rFonts w:hint="eastAsia" w:ascii="仿宋_GB2312" w:hAnsi="仿宋_GB2312" w:eastAsia="仿宋_GB2312" w:cs="仿宋_GB2312"/>
          <w:sz w:val="32"/>
          <w:szCs w:val="32"/>
          <w:highlight w:val="none"/>
          <w:shd w:val="clear" w:color="auto" w:fill="auto"/>
        </w:rPr>
        <w:t>。</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（二）结构情况</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2017年度一般公共预算财政拨款支出</w:t>
      </w:r>
      <w:r>
        <w:rPr>
          <w:rFonts w:hint="eastAsia" w:ascii="仿宋_GB2312" w:hAnsi="仿宋_GB2312" w:eastAsia="仿宋_GB2312" w:cs="仿宋_GB2312"/>
          <w:sz w:val="32"/>
          <w:szCs w:val="32"/>
          <w:shd w:val="clear" w:color="auto" w:fill="auto"/>
          <w:lang w:val="en-US" w:eastAsia="zh-CN"/>
        </w:rPr>
        <w:t>512.99</w:t>
      </w:r>
      <w:r>
        <w:rPr>
          <w:rFonts w:hint="eastAsia" w:ascii="仿宋_GB2312" w:hAnsi="仿宋_GB2312" w:eastAsia="仿宋_GB2312" w:cs="仿宋_GB2312"/>
          <w:sz w:val="32"/>
          <w:szCs w:val="32"/>
          <w:shd w:val="clear" w:color="auto" w:fill="auto"/>
        </w:rPr>
        <w:t>万元，主要用于以下方面：一般公共服务（类）支出</w:t>
      </w:r>
      <w:r>
        <w:rPr>
          <w:rFonts w:hint="eastAsia" w:ascii="仿宋_GB2312" w:hAnsi="仿宋_GB2312" w:eastAsia="仿宋_GB2312" w:cs="仿宋_GB2312"/>
          <w:sz w:val="32"/>
          <w:szCs w:val="32"/>
          <w:shd w:val="clear" w:color="auto" w:fill="auto"/>
          <w:lang w:val="en-US" w:eastAsia="zh-CN"/>
        </w:rPr>
        <w:t>434.23</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84.65</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shd w:val="clear" w:color="auto" w:fill="auto"/>
          <w:lang w:eastAsia="zh-CN"/>
        </w:rPr>
        <w:t>社会保障和就业</w:t>
      </w:r>
      <w:r>
        <w:rPr>
          <w:rFonts w:hint="eastAsia" w:ascii="仿宋_GB2312" w:hAnsi="仿宋_GB2312" w:eastAsia="仿宋_GB2312" w:cs="仿宋_GB2312"/>
          <w:sz w:val="32"/>
          <w:szCs w:val="32"/>
          <w:shd w:val="clear" w:color="auto" w:fill="auto"/>
        </w:rPr>
        <w:t>支出</w:t>
      </w:r>
      <w:r>
        <w:rPr>
          <w:rFonts w:hint="eastAsia" w:ascii="仿宋_GB2312" w:hAnsi="仿宋_GB2312" w:eastAsia="仿宋_GB2312" w:cs="仿宋_GB2312"/>
          <w:sz w:val="32"/>
          <w:szCs w:val="32"/>
          <w:shd w:val="clear" w:color="auto" w:fill="auto"/>
          <w:lang w:val="en-US" w:eastAsia="zh-CN"/>
        </w:rPr>
        <w:t>47.28</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9.22</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shd w:val="clear" w:color="auto" w:fill="auto"/>
          <w:lang w:eastAsia="zh-CN"/>
        </w:rPr>
        <w:t>医疗卫生与计划生育</w:t>
      </w:r>
      <w:r>
        <w:rPr>
          <w:rFonts w:hint="eastAsia" w:ascii="仿宋_GB2312" w:hAnsi="仿宋_GB2312" w:eastAsia="仿宋_GB2312" w:cs="仿宋_GB2312"/>
          <w:sz w:val="32"/>
          <w:szCs w:val="32"/>
          <w:shd w:val="clear" w:color="auto" w:fill="auto"/>
        </w:rPr>
        <w:t>支出</w:t>
      </w:r>
      <w:r>
        <w:rPr>
          <w:rFonts w:hint="eastAsia" w:ascii="仿宋_GB2312" w:hAnsi="仿宋_GB2312" w:eastAsia="仿宋_GB2312" w:cs="仿宋_GB2312"/>
          <w:sz w:val="32"/>
          <w:szCs w:val="32"/>
          <w:shd w:val="clear" w:color="auto" w:fill="auto"/>
          <w:lang w:val="en-US" w:eastAsia="zh-CN"/>
        </w:rPr>
        <w:t>10.48</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2.04</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shd w:val="clear" w:color="auto" w:fill="auto"/>
          <w:lang w:eastAsia="zh-CN"/>
        </w:rPr>
        <w:t>住房保障</w:t>
      </w:r>
      <w:r>
        <w:rPr>
          <w:rFonts w:hint="eastAsia" w:ascii="仿宋_GB2312" w:hAnsi="仿宋_GB2312" w:eastAsia="仿宋_GB2312" w:cs="仿宋_GB2312"/>
          <w:sz w:val="32"/>
          <w:szCs w:val="32"/>
          <w:shd w:val="clear" w:color="auto" w:fill="auto"/>
        </w:rPr>
        <w:t>支出</w:t>
      </w:r>
      <w:r>
        <w:rPr>
          <w:rFonts w:hint="eastAsia" w:ascii="仿宋_GB2312" w:hAnsi="仿宋_GB2312" w:eastAsia="仿宋_GB2312" w:cs="仿宋_GB2312"/>
          <w:sz w:val="32"/>
          <w:szCs w:val="32"/>
          <w:shd w:val="clear" w:color="auto" w:fill="auto"/>
          <w:lang w:val="en-US" w:eastAsia="zh-CN"/>
        </w:rPr>
        <w:t>21.01</w:t>
      </w:r>
      <w:r>
        <w:rPr>
          <w:rFonts w:hint="eastAsia" w:ascii="仿宋_GB2312" w:hAnsi="仿宋_GB2312" w:eastAsia="仿宋_GB2312" w:cs="仿宋_GB2312"/>
          <w:sz w:val="32"/>
          <w:szCs w:val="32"/>
          <w:shd w:val="clear" w:color="auto" w:fill="auto"/>
        </w:rPr>
        <w:t>万元，占</w:t>
      </w:r>
      <w:r>
        <w:rPr>
          <w:rFonts w:hint="eastAsia" w:ascii="仿宋_GB2312" w:hAnsi="仿宋_GB2312" w:eastAsia="仿宋_GB2312" w:cs="仿宋_GB2312"/>
          <w:sz w:val="32"/>
          <w:szCs w:val="32"/>
          <w:shd w:val="clear" w:color="auto" w:fill="auto"/>
          <w:lang w:val="en-US" w:eastAsia="zh-CN"/>
        </w:rPr>
        <w:t>4.09</w:t>
      </w:r>
      <w:r>
        <w:rPr>
          <w:rFonts w:hint="eastAsia" w:ascii="仿宋_GB2312" w:hAnsi="仿宋_GB2312" w:eastAsia="仿宋_GB2312" w:cs="仿宋_GB2312"/>
          <w:sz w:val="32"/>
          <w:szCs w:val="32"/>
          <w:shd w:val="clear" w:color="auto" w:fill="auto"/>
        </w:rPr>
        <w:t>%。</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（三）具体情况</w:t>
      </w:r>
    </w:p>
    <w:p>
      <w:pPr>
        <w:widowControl/>
        <w:spacing w:line="567" w:lineRule="exact"/>
        <w:ind w:firstLine="640" w:firstLineChars="200"/>
        <w:jc w:val="left"/>
        <w:rPr>
          <w:rFonts w:hint="eastAsia" w:ascii="仿宋_GB2312" w:hAnsi="仿宋_GB2312" w:eastAsia="仿宋_GB2312" w:cs="仿宋_GB2312"/>
          <w:sz w:val="32"/>
          <w:szCs w:val="32"/>
          <w:highlight w:val="none"/>
          <w:shd w:val="clear" w:color="auto" w:fill="auto"/>
        </w:rPr>
      </w:pPr>
      <w:r>
        <w:rPr>
          <w:rFonts w:hint="eastAsia" w:ascii="仿宋_GB2312" w:hAnsi="仿宋_GB2312" w:eastAsia="仿宋_GB2312" w:cs="仿宋_GB2312"/>
          <w:sz w:val="32"/>
          <w:szCs w:val="32"/>
          <w:shd w:val="clear" w:color="auto" w:fill="auto"/>
        </w:rPr>
        <w:t>2017年度一般公共预算财政拨款支出年初预算为</w:t>
      </w:r>
      <w:r>
        <w:rPr>
          <w:rFonts w:hint="eastAsia" w:ascii="仿宋_GB2312" w:hAnsi="仿宋_GB2312" w:eastAsia="仿宋_GB2312" w:cs="仿宋_GB2312"/>
          <w:sz w:val="32"/>
          <w:szCs w:val="32"/>
          <w:shd w:val="clear" w:color="auto" w:fill="auto"/>
          <w:lang w:val="en-US" w:eastAsia="zh-CN"/>
        </w:rPr>
        <w:t>315.25</w:t>
      </w:r>
      <w:r>
        <w:rPr>
          <w:rFonts w:hint="eastAsia" w:ascii="仿宋_GB2312" w:hAnsi="仿宋_GB2312" w:eastAsia="仿宋_GB2312" w:cs="仿宋_GB2312"/>
          <w:sz w:val="32"/>
          <w:szCs w:val="32"/>
          <w:shd w:val="clear" w:color="auto" w:fill="auto"/>
        </w:rPr>
        <w:t>万元，支出决算为</w:t>
      </w:r>
      <w:r>
        <w:rPr>
          <w:rFonts w:hint="eastAsia" w:ascii="仿宋_GB2312" w:hAnsi="仿宋_GB2312" w:eastAsia="仿宋_GB2312" w:cs="仿宋_GB2312"/>
          <w:sz w:val="32"/>
          <w:szCs w:val="32"/>
          <w:shd w:val="clear" w:color="auto" w:fill="auto"/>
          <w:lang w:val="en-US" w:eastAsia="zh-CN"/>
        </w:rPr>
        <w:t>512.99</w:t>
      </w:r>
      <w:r>
        <w:rPr>
          <w:rFonts w:hint="eastAsia" w:ascii="仿宋_GB2312" w:hAnsi="仿宋_GB2312" w:eastAsia="仿宋_GB2312" w:cs="仿宋_GB2312"/>
          <w:sz w:val="32"/>
          <w:szCs w:val="32"/>
          <w:shd w:val="clear" w:color="auto" w:fill="auto"/>
        </w:rPr>
        <w:t>万元，完成年初预算的</w:t>
      </w:r>
      <w:r>
        <w:rPr>
          <w:rFonts w:hint="eastAsia" w:ascii="仿宋_GB2312" w:hAnsi="仿宋_GB2312" w:eastAsia="仿宋_GB2312" w:cs="仿宋_GB2312"/>
          <w:sz w:val="32"/>
          <w:szCs w:val="32"/>
          <w:shd w:val="clear" w:color="auto" w:fill="auto"/>
          <w:lang w:val="en-US" w:eastAsia="zh-CN"/>
        </w:rPr>
        <w:t>162.73</w:t>
      </w:r>
      <w:r>
        <w:rPr>
          <w:rFonts w:hint="eastAsia" w:ascii="仿宋_GB2312" w:hAnsi="仿宋_GB2312" w:eastAsia="仿宋_GB2312" w:cs="仿宋_GB2312"/>
          <w:sz w:val="32"/>
          <w:szCs w:val="32"/>
          <w:shd w:val="clear" w:color="auto" w:fill="auto"/>
        </w:rPr>
        <w:t>%。决算数与年初预算数存在差异的主要原因：</w:t>
      </w:r>
      <w:r>
        <w:rPr>
          <w:rFonts w:hint="eastAsia" w:ascii="仿宋_GB2312" w:hAnsi="仿宋_GB2312" w:eastAsia="仿宋_GB2312" w:cs="仿宋_GB2312"/>
          <w:sz w:val="32"/>
          <w:szCs w:val="32"/>
          <w:highlight w:val="none"/>
          <w:shd w:val="clear" w:color="auto" w:fill="auto"/>
        </w:rPr>
        <w:t>一是</w:t>
      </w:r>
      <w:r>
        <w:rPr>
          <w:rFonts w:hint="eastAsia" w:ascii="仿宋_GB2312" w:hAnsi="仿宋_GB2312" w:eastAsia="仿宋_GB2312" w:cs="仿宋_GB2312"/>
          <w:sz w:val="32"/>
          <w:szCs w:val="32"/>
          <w:highlight w:val="none"/>
          <w:shd w:val="clear" w:color="auto" w:fill="auto"/>
          <w:lang w:eastAsia="zh-CN"/>
        </w:rPr>
        <w:t>人员工资费用的增加，二是换届大会专项费用的增加，三是增加出国费用</w:t>
      </w:r>
      <w:r>
        <w:rPr>
          <w:rFonts w:hint="eastAsia" w:ascii="仿宋_GB2312" w:hAnsi="仿宋_GB2312" w:eastAsia="仿宋_GB2312" w:cs="仿宋_GB2312"/>
          <w:sz w:val="32"/>
          <w:szCs w:val="32"/>
          <w:highlight w:val="none"/>
          <w:shd w:val="clear" w:color="auto" w:fill="auto"/>
        </w:rPr>
        <w:t>。其中：</w:t>
      </w:r>
      <w:r>
        <w:rPr>
          <w:rFonts w:hint="eastAsia" w:ascii="仿宋_GB2312" w:hAnsi="仿宋_GB2312" w:eastAsia="仿宋_GB2312" w:cs="仿宋_GB2312"/>
          <w:sz w:val="32"/>
          <w:szCs w:val="32"/>
          <w:highlight w:val="none"/>
          <w:shd w:val="clear" w:color="auto" w:fill="auto"/>
          <w:lang w:eastAsia="zh-CN"/>
        </w:rPr>
        <w:t>专项换届大会增加</w:t>
      </w:r>
      <w:r>
        <w:rPr>
          <w:rFonts w:hint="eastAsia" w:ascii="仿宋_GB2312" w:hAnsi="仿宋_GB2312" w:eastAsia="仿宋_GB2312" w:cs="仿宋_GB2312"/>
          <w:sz w:val="32"/>
          <w:szCs w:val="32"/>
          <w:highlight w:val="none"/>
          <w:shd w:val="clear" w:color="auto" w:fill="auto"/>
          <w:lang w:val="en-US" w:eastAsia="zh-CN"/>
        </w:rPr>
        <w:t>54.53万元，出国费用增加13.79万元。</w:t>
      </w:r>
    </w:p>
    <w:p>
      <w:pPr>
        <w:widowControl/>
        <w:spacing w:line="567" w:lineRule="exact"/>
        <w:ind w:firstLine="643"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b/>
          <w:bCs/>
          <w:sz w:val="32"/>
          <w:szCs w:val="32"/>
          <w:shd w:val="clear" w:color="auto" w:fill="auto"/>
        </w:rPr>
        <w:t>1．一般公共服务（类）财政事务（款）行政运行（项）。</w:t>
      </w:r>
      <w:r>
        <w:rPr>
          <w:rFonts w:hint="eastAsia" w:ascii="仿宋_GB2312" w:hAnsi="仿宋_GB2312" w:eastAsia="仿宋_GB2312" w:cs="仿宋_GB2312"/>
          <w:sz w:val="32"/>
          <w:szCs w:val="32"/>
          <w:shd w:val="clear" w:color="auto" w:fill="auto"/>
        </w:rPr>
        <w:t>年初预算为</w:t>
      </w:r>
      <w:r>
        <w:rPr>
          <w:rFonts w:hint="eastAsia" w:ascii="仿宋_GB2312" w:hAnsi="仿宋_GB2312" w:eastAsia="仿宋_GB2312" w:cs="仿宋_GB2312"/>
          <w:sz w:val="32"/>
          <w:szCs w:val="32"/>
          <w:shd w:val="clear" w:color="auto" w:fill="auto"/>
          <w:lang w:val="en-US" w:eastAsia="zh-CN"/>
        </w:rPr>
        <w:t>250.73</w:t>
      </w:r>
      <w:r>
        <w:rPr>
          <w:rFonts w:hint="eastAsia" w:ascii="仿宋_GB2312" w:hAnsi="仿宋_GB2312" w:eastAsia="仿宋_GB2312" w:cs="仿宋_GB2312"/>
          <w:sz w:val="32"/>
          <w:szCs w:val="32"/>
          <w:shd w:val="clear" w:color="auto" w:fill="auto"/>
        </w:rPr>
        <w:t>万元，支出决算为</w:t>
      </w:r>
      <w:r>
        <w:rPr>
          <w:rFonts w:hint="eastAsia" w:ascii="仿宋_GB2312" w:hAnsi="仿宋_GB2312" w:eastAsia="仿宋_GB2312" w:cs="仿宋_GB2312"/>
          <w:sz w:val="32"/>
          <w:szCs w:val="32"/>
          <w:shd w:val="clear" w:color="auto" w:fill="auto"/>
          <w:lang w:val="en-US" w:eastAsia="zh-CN"/>
        </w:rPr>
        <w:t>434.23</w:t>
      </w:r>
      <w:r>
        <w:rPr>
          <w:rFonts w:hint="eastAsia" w:ascii="仿宋_GB2312" w:hAnsi="仿宋_GB2312" w:eastAsia="仿宋_GB2312" w:cs="仿宋_GB2312"/>
          <w:sz w:val="32"/>
          <w:szCs w:val="32"/>
          <w:shd w:val="clear" w:color="auto" w:fill="auto"/>
        </w:rPr>
        <w:t>万元，完成年初预算的</w:t>
      </w:r>
      <w:r>
        <w:rPr>
          <w:rFonts w:hint="eastAsia" w:ascii="仿宋_GB2312" w:hAnsi="仿宋_GB2312" w:eastAsia="仿宋_GB2312" w:cs="仿宋_GB2312"/>
          <w:sz w:val="32"/>
          <w:szCs w:val="32"/>
          <w:shd w:val="clear" w:color="auto" w:fill="auto"/>
          <w:lang w:val="en-US" w:eastAsia="zh-CN"/>
        </w:rPr>
        <w:t>173.18</w:t>
      </w:r>
      <w:r>
        <w:rPr>
          <w:rFonts w:hint="eastAsia" w:ascii="仿宋_GB2312" w:hAnsi="仿宋_GB2312" w:eastAsia="仿宋_GB2312" w:cs="仿宋_GB2312"/>
          <w:sz w:val="32"/>
          <w:szCs w:val="32"/>
          <w:shd w:val="clear" w:color="auto" w:fill="auto"/>
        </w:rPr>
        <w:t>%。决算数与年初预算数存在差异的主要原因是</w:t>
      </w:r>
      <w:r>
        <w:rPr>
          <w:rFonts w:hint="eastAsia" w:ascii="仿宋_GB2312" w:hAnsi="仿宋_GB2312" w:eastAsia="仿宋_GB2312" w:cs="仿宋_GB2312"/>
          <w:sz w:val="32"/>
          <w:szCs w:val="32"/>
          <w:shd w:val="clear" w:color="auto" w:fill="auto"/>
          <w:lang w:eastAsia="zh-CN"/>
        </w:rPr>
        <w:t>人员工资水平增加</w:t>
      </w:r>
      <w:r>
        <w:rPr>
          <w:rFonts w:hint="eastAsia" w:ascii="仿宋_GB2312" w:hAnsi="仿宋_GB2312" w:eastAsia="仿宋_GB2312" w:cs="仿宋_GB2312"/>
          <w:sz w:val="32"/>
          <w:szCs w:val="32"/>
          <w:shd w:val="clear" w:color="auto" w:fill="auto"/>
        </w:rPr>
        <w:t>。</w:t>
      </w:r>
    </w:p>
    <w:p>
      <w:pPr>
        <w:widowControl/>
        <w:spacing w:line="567" w:lineRule="exact"/>
        <w:ind w:firstLine="643" w:firstLineChars="200"/>
        <w:jc w:val="left"/>
        <w:rPr>
          <w:rFonts w:hint="eastAsia" w:ascii="仿宋_GB2312" w:hAnsi="仿宋_GB2312" w:eastAsia="仿宋_GB2312" w:cs="仿宋_GB2312"/>
          <w:b/>
          <w:bCs/>
          <w:sz w:val="32"/>
          <w:szCs w:val="32"/>
          <w:shd w:val="clear" w:color="auto" w:fill="auto"/>
        </w:rPr>
      </w:pPr>
      <w:r>
        <w:rPr>
          <w:rFonts w:hint="eastAsia" w:ascii="仿宋_GB2312" w:hAnsi="仿宋_GB2312" w:eastAsia="仿宋_GB2312" w:cs="仿宋_GB2312"/>
          <w:b/>
          <w:bCs/>
          <w:sz w:val="32"/>
          <w:szCs w:val="32"/>
          <w:shd w:val="clear" w:color="auto" w:fill="auto"/>
        </w:rPr>
        <w:t>2．一般公共服务（类）财政事务（款）一般行政管理事务（项）。</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年初预算为</w:t>
      </w:r>
      <w:r>
        <w:rPr>
          <w:rFonts w:hint="eastAsia" w:ascii="仿宋_GB2312" w:hAnsi="仿宋_GB2312" w:eastAsia="仿宋_GB2312" w:cs="仿宋_GB2312"/>
          <w:sz w:val="32"/>
          <w:szCs w:val="32"/>
          <w:shd w:val="clear" w:color="auto" w:fill="auto"/>
          <w:lang w:val="en-US" w:eastAsia="zh-CN"/>
        </w:rPr>
        <w:t>0</w:t>
      </w:r>
      <w:r>
        <w:rPr>
          <w:rFonts w:hint="eastAsia" w:ascii="仿宋_GB2312" w:hAnsi="仿宋_GB2312" w:eastAsia="仿宋_GB2312" w:cs="仿宋_GB2312"/>
          <w:sz w:val="32"/>
          <w:szCs w:val="32"/>
          <w:shd w:val="clear" w:color="auto" w:fill="auto"/>
        </w:rPr>
        <w:t>万元，支出决算为</w:t>
      </w:r>
      <w:r>
        <w:rPr>
          <w:rFonts w:hint="eastAsia" w:ascii="仿宋_GB2312" w:hAnsi="仿宋_GB2312" w:eastAsia="仿宋_GB2312" w:cs="仿宋_GB2312"/>
          <w:sz w:val="32"/>
          <w:szCs w:val="32"/>
          <w:shd w:val="clear" w:color="auto" w:fill="auto"/>
          <w:lang w:val="en-US" w:eastAsia="zh-CN"/>
        </w:rPr>
        <w:t>57.49</w:t>
      </w:r>
      <w:r>
        <w:rPr>
          <w:rFonts w:hint="eastAsia" w:ascii="仿宋_GB2312" w:hAnsi="仿宋_GB2312" w:eastAsia="仿宋_GB2312" w:cs="仿宋_GB2312"/>
          <w:sz w:val="32"/>
          <w:szCs w:val="32"/>
          <w:shd w:val="clear" w:color="auto" w:fill="auto"/>
        </w:rPr>
        <w:t>万元，完成年初预算的</w:t>
      </w:r>
      <w:r>
        <w:rPr>
          <w:rFonts w:hint="eastAsia" w:ascii="仿宋_GB2312" w:hAnsi="仿宋_GB2312" w:eastAsia="仿宋_GB2312" w:cs="仿宋_GB2312"/>
          <w:sz w:val="32"/>
          <w:szCs w:val="32"/>
          <w:shd w:val="clear" w:color="auto" w:fill="auto"/>
          <w:lang w:val="en-US" w:eastAsia="zh-CN"/>
        </w:rPr>
        <w:t>100.00</w:t>
      </w:r>
      <w:r>
        <w:rPr>
          <w:rFonts w:hint="eastAsia" w:ascii="仿宋_GB2312" w:hAnsi="仿宋_GB2312" w:eastAsia="仿宋_GB2312" w:cs="仿宋_GB2312"/>
          <w:sz w:val="32"/>
          <w:szCs w:val="32"/>
          <w:shd w:val="clear" w:color="auto" w:fill="auto"/>
        </w:rPr>
        <w:t>%。决算数与年初预算数存在差异的主要原因是</w:t>
      </w:r>
      <w:r>
        <w:rPr>
          <w:rFonts w:hint="eastAsia" w:ascii="仿宋_GB2312" w:hAnsi="仿宋_GB2312" w:eastAsia="仿宋_GB2312" w:cs="仿宋_GB2312"/>
          <w:sz w:val="32"/>
          <w:szCs w:val="32"/>
          <w:shd w:val="clear" w:color="auto" w:fill="auto"/>
          <w:lang w:eastAsia="zh-CN"/>
        </w:rPr>
        <w:t>增加换届大会的费用和出国费用</w:t>
      </w:r>
      <w:r>
        <w:rPr>
          <w:rFonts w:hint="eastAsia" w:ascii="仿宋_GB2312" w:hAnsi="仿宋_GB2312" w:eastAsia="仿宋_GB2312" w:cs="仿宋_GB2312"/>
          <w:sz w:val="32"/>
          <w:szCs w:val="32"/>
          <w:shd w:val="clear" w:color="auto" w:fill="auto"/>
        </w:rPr>
        <w:t>。</w:t>
      </w:r>
    </w:p>
    <w:p>
      <w:pPr>
        <w:widowControl/>
        <w:spacing w:line="567" w:lineRule="exact"/>
        <w:ind w:firstLine="640" w:firstLineChars="200"/>
        <w:jc w:val="both"/>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六、一般公共预算财政拨款基本支出决算情况说明</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2017年度一般公共预算财政拨款基本支出</w:t>
      </w:r>
      <w:r>
        <w:rPr>
          <w:rFonts w:hint="eastAsia" w:ascii="仿宋_GB2312" w:hAnsi="仿宋_GB2312" w:eastAsia="仿宋_GB2312" w:cs="仿宋_GB2312"/>
          <w:sz w:val="32"/>
          <w:szCs w:val="32"/>
          <w:shd w:val="clear" w:color="auto" w:fill="auto"/>
          <w:lang w:val="en-US" w:eastAsia="zh-CN"/>
        </w:rPr>
        <w:t>455.50</w:t>
      </w:r>
      <w:r>
        <w:rPr>
          <w:rFonts w:hint="eastAsia" w:ascii="仿宋_GB2312" w:hAnsi="仿宋_GB2312" w:eastAsia="仿宋_GB2312" w:cs="仿宋_GB2312"/>
          <w:sz w:val="32"/>
          <w:szCs w:val="32"/>
          <w:shd w:val="clear" w:color="auto" w:fill="auto"/>
        </w:rPr>
        <w:t>万元。与2016年度相比，增加</w:t>
      </w:r>
      <w:r>
        <w:rPr>
          <w:rFonts w:hint="eastAsia" w:ascii="仿宋_GB2312" w:hAnsi="仿宋_GB2312" w:eastAsia="仿宋_GB2312" w:cs="仿宋_GB2312"/>
          <w:sz w:val="32"/>
          <w:szCs w:val="32"/>
          <w:shd w:val="clear" w:color="auto" w:fill="auto"/>
          <w:lang w:val="en-US" w:eastAsia="zh-CN"/>
        </w:rPr>
        <w:t>71.49</w:t>
      </w:r>
      <w:r>
        <w:rPr>
          <w:rFonts w:hint="eastAsia" w:ascii="仿宋_GB2312" w:hAnsi="仿宋_GB2312" w:eastAsia="仿宋_GB2312" w:cs="仿宋_GB2312"/>
          <w:sz w:val="32"/>
          <w:szCs w:val="32"/>
          <w:shd w:val="clear" w:color="auto" w:fill="auto"/>
        </w:rPr>
        <w:t>万元，增长</w:t>
      </w:r>
      <w:r>
        <w:rPr>
          <w:rFonts w:hint="eastAsia" w:ascii="仿宋_GB2312" w:hAnsi="仿宋_GB2312" w:eastAsia="仿宋_GB2312" w:cs="仿宋_GB2312"/>
          <w:sz w:val="32"/>
          <w:szCs w:val="32"/>
          <w:shd w:val="clear" w:color="auto" w:fill="auto"/>
          <w:lang w:val="en-US" w:eastAsia="zh-CN"/>
        </w:rPr>
        <w:t>18.62</w:t>
      </w:r>
      <w:r>
        <w:rPr>
          <w:rFonts w:hint="eastAsia" w:ascii="仿宋_GB2312" w:hAnsi="仿宋_GB2312" w:eastAsia="仿宋_GB2312" w:cs="仿宋_GB2312"/>
          <w:sz w:val="32"/>
          <w:szCs w:val="32"/>
          <w:shd w:val="clear" w:color="auto" w:fill="auto"/>
        </w:rPr>
        <w:t>%，主要原因：</w:t>
      </w:r>
      <w:r>
        <w:rPr>
          <w:rFonts w:hint="eastAsia" w:ascii="仿宋_GB2312" w:hAnsi="仿宋_GB2312" w:eastAsia="仿宋_GB2312" w:cs="仿宋_GB2312"/>
          <w:sz w:val="32"/>
          <w:szCs w:val="32"/>
          <w:shd w:val="clear" w:color="auto" w:fill="auto"/>
          <w:lang w:eastAsia="zh-CN"/>
        </w:rPr>
        <w:t>人员工资水平增加，</w:t>
      </w:r>
      <w:r>
        <w:rPr>
          <w:rFonts w:hint="eastAsia" w:ascii="仿宋_GB2312" w:hAnsi="仿宋_GB2312" w:eastAsia="仿宋_GB2312" w:cs="仿宋_GB2312"/>
          <w:sz w:val="32"/>
          <w:szCs w:val="32"/>
          <w:shd w:val="clear" w:color="auto" w:fill="auto"/>
        </w:rPr>
        <w:t>其中：人员经费</w:t>
      </w:r>
      <w:r>
        <w:rPr>
          <w:rFonts w:hint="eastAsia" w:ascii="仿宋_GB2312" w:hAnsi="仿宋_GB2312" w:eastAsia="仿宋_GB2312" w:cs="仿宋_GB2312"/>
          <w:sz w:val="32"/>
          <w:szCs w:val="32"/>
          <w:shd w:val="clear" w:color="auto" w:fill="auto"/>
          <w:lang w:val="en-US" w:eastAsia="zh-CN"/>
        </w:rPr>
        <w:t>376.87</w:t>
      </w:r>
      <w:r>
        <w:rPr>
          <w:rFonts w:hint="eastAsia" w:ascii="仿宋_GB2312" w:hAnsi="仿宋_GB2312" w:eastAsia="仿宋_GB2312" w:cs="仿宋_GB2312"/>
          <w:sz w:val="32"/>
          <w:szCs w:val="32"/>
          <w:shd w:val="clear" w:color="auto" w:fill="auto"/>
        </w:rPr>
        <w:t>万元，主要包括：基本工资、津贴补贴、绩效工资、机关事业单位基本养老保险缴费、职业年金缴费、其他社会保障缴费、其他工资福利支出、退休费、生活补助、住房公积金、采暖补贴、其他对个人和家庭的补助支出；公用经费</w:t>
      </w:r>
      <w:r>
        <w:rPr>
          <w:rFonts w:hint="eastAsia" w:ascii="仿宋_GB2312" w:hAnsi="仿宋_GB2312" w:eastAsia="仿宋_GB2312" w:cs="仿宋_GB2312"/>
          <w:sz w:val="32"/>
          <w:szCs w:val="32"/>
          <w:shd w:val="clear" w:color="auto" w:fill="auto"/>
          <w:lang w:val="en-US" w:eastAsia="zh-CN"/>
        </w:rPr>
        <w:t>78.63</w:t>
      </w:r>
      <w:r>
        <w:rPr>
          <w:rFonts w:hint="eastAsia" w:ascii="仿宋_GB2312" w:hAnsi="仿宋_GB2312" w:eastAsia="仿宋_GB2312" w:cs="仿宋_GB2312"/>
          <w:sz w:val="32"/>
          <w:szCs w:val="32"/>
          <w:shd w:val="clear" w:color="auto" w:fill="auto"/>
        </w:rPr>
        <w:t>万元，主要包括：办公费、印刷费、手续费、邮电费、差旅费、因公出国（境）费用、维修（护）费、租赁费、会议费、培训费、劳务费、委托业务费、工会经费、福利费、公务用车运行维护费、其他交通费用、其他商品和服务支出、办公设备购置、其他资本性支出。</w:t>
      </w:r>
    </w:p>
    <w:p>
      <w:pPr>
        <w:widowControl/>
        <w:spacing w:line="567" w:lineRule="exact"/>
        <w:ind w:firstLine="640" w:firstLineChars="200"/>
        <w:jc w:val="center"/>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七、一般公共预算财政拨款“三公”经费支出决算情况说明</w:t>
      </w:r>
    </w:p>
    <w:p>
      <w:pPr>
        <w:widowControl/>
        <w:spacing w:line="567" w:lineRule="exact"/>
        <w:ind w:firstLine="640" w:firstLineChars="200"/>
        <w:jc w:val="both"/>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（一）“三公”经费财政拨款支出决算总体情况说明</w:t>
      </w:r>
    </w:p>
    <w:p>
      <w:pPr>
        <w:widowControl/>
        <w:spacing w:line="567" w:lineRule="exact"/>
        <w:ind w:firstLine="640" w:firstLineChars="200"/>
        <w:jc w:val="left"/>
        <w:rPr>
          <w:rFonts w:hint="eastAsia" w:ascii="仿宋_GB2312" w:hAnsi="仿宋_GB2312" w:eastAsia="仿宋_GB2312" w:cs="仿宋_GB2312"/>
          <w:sz w:val="32"/>
          <w:szCs w:val="32"/>
          <w:highlight w:val="yellow"/>
          <w:shd w:val="clear" w:color="auto" w:fill="auto"/>
        </w:rPr>
      </w:pPr>
      <w:r>
        <w:rPr>
          <w:rFonts w:hint="eastAsia" w:ascii="仿宋_GB2312" w:hAnsi="仿宋_GB2312" w:eastAsia="仿宋_GB2312" w:cs="仿宋_GB2312"/>
          <w:sz w:val="32"/>
          <w:szCs w:val="32"/>
          <w:shd w:val="clear" w:color="auto" w:fill="auto"/>
        </w:rPr>
        <w:t>2017年度“三公”经费财政拨款支出预算为</w:t>
      </w:r>
      <w:r>
        <w:rPr>
          <w:rFonts w:hint="eastAsia" w:ascii="仿宋_GB2312" w:hAnsi="仿宋_GB2312" w:eastAsia="仿宋_GB2312" w:cs="仿宋_GB2312"/>
          <w:sz w:val="32"/>
          <w:szCs w:val="32"/>
          <w:shd w:val="clear" w:color="auto" w:fill="auto"/>
          <w:lang w:val="en-US" w:eastAsia="zh-CN"/>
        </w:rPr>
        <w:t>4.00</w:t>
      </w:r>
      <w:r>
        <w:rPr>
          <w:rFonts w:hint="eastAsia" w:ascii="仿宋_GB2312" w:hAnsi="仿宋_GB2312" w:eastAsia="仿宋_GB2312" w:cs="仿宋_GB2312"/>
          <w:sz w:val="32"/>
          <w:szCs w:val="32"/>
          <w:shd w:val="clear" w:color="auto" w:fill="auto"/>
        </w:rPr>
        <w:t>万元，支出决算为</w:t>
      </w:r>
      <w:r>
        <w:rPr>
          <w:rFonts w:hint="eastAsia" w:ascii="仿宋_GB2312" w:hAnsi="仿宋_GB2312" w:eastAsia="仿宋_GB2312" w:cs="仿宋_GB2312"/>
          <w:sz w:val="32"/>
          <w:szCs w:val="32"/>
          <w:shd w:val="clear" w:color="auto" w:fill="auto"/>
          <w:lang w:val="en-US" w:eastAsia="zh-CN"/>
        </w:rPr>
        <w:t>17.79</w:t>
      </w:r>
      <w:r>
        <w:rPr>
          <w:rFonts w:hint="eastAsia" w:ascii="仿宋_GB2312" w:hAnsi="仿宋_GB2312" w:eastAsia="仿宋_GB2312" w:cs="仿宋_GB2312"/>
          <w:sz w:val="32"/>
          <w:szCs w:val="32"/>
          <w:shd w:val="clear" w:color="auto" w:fill="auto"/>
        </w:rPr>
        <w:t>万元，完成预算的</w:t>
      </w:r>
      <w:r>
        <w:rPr>
          <w:rFonts w:hint="eastAsia" w:ascii="仿宋_GB2312" w:hAnsi="仿宋_GB2312" w:eastAsia="仿宋_GB2312" w:cs="仿宋_GB2312"/>
          <w:sz w:val="32"/>
          <w:szCs w:val="32"/>
          <w:shd w:val="clear" w:color="auto" w:fill="auto"/>
          <w:lang w:val="en-US" w:eastAsia="zh-CN"/>
        </w:rPr>
        <w:t>444.75</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highlight w:val="none"/>
          <w:shd w:val="clear" w:color="auto" w:fill="auto"/>
        </w:rPr>
        <w:t>2017年度“三公”经费支出决算数与预算数存在差异的主要原因是</w:t>
      </w:r>
      <w:r>
        <w:rPr>
          <w:rFonts w:hint="eastAsia" w:ascii="仿宋_GB2312" w:hAnsi="仿宋_GB2312" w:eastAsia="仿宋_GB2312" w:cs="仿宋_GB2312"/>
          <w:sz w:val="32"/>
          <w:szCs w:val="32"/>
          <w:highlight w:val="none"/>
          <w:shd w:val="clear" w:color="auto" w:fill="auto"/>
          <w:lang w:eastAsia="zh-CN"/>
        </w:rPr>
        <w:t>增加出国费用</w:t>
      </w:r>
      <w:r>
        <w:rPr>
          <w:rFonts w:hint="eastAsia" w:ascii="仿宋_GB2312" w:hAnsi="仿宋_GB2312" w:eastAsia="仿宋_GB2312" w:cs="仿宋_GB2312"/>
          <w:sz w:val="32"/>
          <w:szCs w:val="32"/>
          <w:highlight w:val="none"/>
          <w:shd w:val="clear" w:color="auto" w:fill="auto"/>
        </w:rPr>
        <w:t>。</w:t>
      </w:r>
    </w:p>
    <w:p>
      <w:pPr>
        <w:widowControl/>
        <w:spacing w:line="567" w:lineRule="exact"/>
        <w:ind w:firstLine="640" w:firstLineChars="200"/>
        <w:jc w:val="both"/>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（二）“三公”经费财政拨款支出决算具体情况说明</w:t>
      </w:r>
    </w:p>
    <w:p>
      <w:pPr>
        <w:widowControl/>
        <w:spacing w:line="567" w:lineRule="exact"/>
        <w:ind w:firstLine="640" w:firstLineChars="200"/>
        <w:jc w:val="left"/>
        <w:rPr>
          <w:rFonts w:hint="eastAsia" w:ascii="仿宋_GB2312" w:hAnsi="仿宋_GB2312" w:eastAsia="仿宋_GB2312" w:cs="仿宋_GB2312"/>
          <w:sz w:val="32"/>
          <w:szCs w:val="32"/>
          <w:highlight w:val="none"/>
          <w:shd w:val="clear" w:color="auto" w:fill="auto"/>
        </w:rPr>
      </w:pPr>
      <w:r>
        <w:rPr>
          <w:rFonts w:hint="eastAsia" w:ascii="仿宋_GB2312" w:hAnsi="仿宋_GB2312" w:eastAsia="仿宋_GB2312" w:cs="仿宋_GB2312"/>
          <w:sz w:val="32"/>
          <w:szCs w:val="32"/>
          <w:shd w:val="clear" w:color="auto" w:fill="auto"/>
        </w:rPr>
        <w:t>2017年度“三公”经费财政拨款支出决算中，因公出国（境）费支出决算</w:t>
      </w:r>
      <w:r>
        <w:rPr>
          <w:rFonts w:hint="eastAsia" w:ascii="仿宋_GB2312" w:hAnsi="仿宋_GB2312" w:eastAsia="仿宋_GB2312" w:cs="仿宋_GB2312"/>
          <w:sz w:val="32"/>
          <w:szCs w:val="32"/>
          <w:shd w:val="clear" w:color="auto" w:fill="auto"/>
          <w:lang w:val="en-US" w:eastAsia="zh-CN"/>
        </w:rPr>
        <w:t>13.79</w:t>
      </w:r>
      <w:r>
        <w:rPr>
          <w:rFonts w:hint="eastAsia" w:ascii="仿宋_GB2312" w:hAnsi="仿宋_GB2312" w:eastAsia="仿宋_GB2312" w:cs="仿宋_GB2312"/>
          <w:sz w:val="32"/>
          <w:szCs w:val="32"/>
          <w:shd w:val="clear" w:color="auto" w:fill="auto"/>
        </w:rPr>
        <w:t>万元，完成预算的</w:t>
      </w:r>
      <w:r>
        <w:rPr>
          <w:rFonts w:hint="eastAsia" w:ascii="仿宋_GB2312" w:hAnsi="仿宋_GB2312" w:eastAsia="仿宋_GB2312" w:cs="仿宋_GB2312"/>
          <w:sz w:val="32"/>
          <w:szCs w:val="32"/>
          <w:shd w:val="clear" w:color="auto" w:fill="auto"/>
          <w:lang w:val="en-US" w:eastAsia="zh-CN"/>
        </w:rPr>
        <w:t>100.00</w:t>
      </w:r>
      <w:r>
        <w:rPr>
          <w:rFonts w:hint="eastAsia" w:ascii="仿宋_GB2312" w:hAnsi="仿宋_GB2312" w:eastAsia="仿宋_GB2312" w:cs="仿宋_GB2312"/>
          <w:sz w:val="32"/>
          <w:szCs w:val="32"/>
          <w:shd w:val="clear" w:color="auto" w:fill="auto"/>
        </w:rPr>
        <w:t>%，占</w:t>
      </w:r>
      <w:r>
        <w:rPr>
          <w:rFonts w:hint="eastAsia" w:ascii="仿宋_GB2312" w:hAnsi="仿宋_GB2312" w:eastAsia="仿宋_GB2312" w:cs="仿宋_GB2312"/>
          <w:sz w:val="32"/>
          <w:szCs w:val="32"/>
          <w:shd w:val="clear" w:color="auto" w:fill="auto"/>
          <w:lang w:val="en-US" w:eastAsia="zh-CN"/>
        </w:rPr>
        <w:t>77.52</w:t>
      </w:r>
      <w:r>
        <w:rPr>
          <w:rFonts w:hint="eastAsia" w:ascii="仿宋_GB2312" w:hAnsi="仿宋_GB2312" w:eastAsia="仿宋_GB2312" w:cs="仿宋_GB2312"/>
          <w:sz w:val="32"/>
          <w:szCs w:val="32"/>
          <w:shd w:val="clear" w:color="auto" w:fill="auto"/>
        </w:rPr>
        <w:t>%；公务用车购置及运行费支出决算</w:t>
      </w:r>
      <w:r>
        <w:rPr>
          <w:rFonts w:hint="eastAsia" w:ascii="仿宋_GB2312" w:hAnsi="仿宋_GB2312" w:eastAsia="仿宋_GB2312" w:cs="仿宋_GB2312"/>
          <w:sz w:val="32"/>
          <w:szCs w:val="32"/>
          <w:shd w:val="clear" w:color="auto" w:fill="auto"/>
          <w:lang w:val="en-US" w:eastAsia="zh-CN"/>
        </w:rPr>
        <w:t>4.00</w:t>
      </w:r>
      <w:r>
        <w:rPr>
          <w:rFonts w:hint="eastAsia" w:ascii="仿宋_GB2312" w:hAnsi="仿宋_GB2312" w:eastAsia="仿宋_GB2312" w:cs="仿宋_GB2312"/>
          <w:sz w:val="32"/>
          <w:szCs w:val="32"/>
          <w:shd w:val="clear" w:color="auto" w:fill="auto"/>
        </w:rPr>
        <w:t>万元，完成预算的</w:t>
      </w:r>
      <w:r>
        <w:rPr>
          <w:rFonts w:hint="eastAsia" w:ascii="仿宋_GB2312" w:hAnsi="仿宋_GB2312" w:eastAsia="仿宋_GB2312" w:cs="仿宋_GB2312"/>
          <w:sz w:val="32"/>
          <w:szCs w:val="32"/>
          <w:shd w:val="clear" w:color="auto" w:fill="auto"/>
          <w:lang w:val="en-US" w:eastAsia="zh-CN"/>
        </w:rPr>
        <w:t>100.00</w:t>
      </w:r>
      <w:r>
        <w:rPr>
          <w:rFonts w:hint="eastAsia" w:ascii="仿宋_GB2312" w:hAnsi="仿宋_GB2312" w:eastAsia="仿宋_GB2312" w:cs="仿宋_GB2312"/>
          <w:sz w:val="32"/>
          <w:szCs w:val="32"/>
          <w:shd w:val="clear" w:color="auto" w:fill="auto"/>
        </w:rPr>
        <w:t>%，占</w:t>
      </w:r>
      <w:r>
        <w:rPr>
          <w:rFonts w:hint="eastAsia" w:ascii="仿宋_GB2312" w:hAnsi="仿宋_GB2312" w:eastAsia="仿宋_GB2312" w:cs="仿宋_GB2312"/>
          <w:sz w:val="32"/>
          <w:szCs w:val="32"/>
          <w:shd w:val="clear" w:color="auto" w:fill="auto"/>
          <w:lang w:val="en-US" w:eastAsia="zh-CN"/>
        </w:rPr>
        <w:t>22.48</w:t>
      </w:r>
      <w:r>
        <w:rPr>
          <w:rFonts w:hint="eastAsia" w:ascii="仿宋_GB2312" w:hAnsi="仿宋_GB2312" w:eastAsia="仿宋_GB2312" w:cs="仿宋_GB2312"/>
          <w:sz w:val="32"/>
          <w:szCs w:val="32"/>
          <w:shd w:val="clear" w:color="auto" w:fill="auto"/>
        </w:rPr>
        <w:t>%；公务接待费支出决算</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w:t>
      </w:r>
      <w:r>
        <w:rPr>
          <w:rFonts w:hint="eastAsia" w:ascii="仿宋_GB2312" w:hAnsi="仿宋_GB2312" w:eastAsia="仿宋_GB2312" w:cs="仿宋_GB2312"/>
          <w:sz w:val="32"/>
          <w:szCs w:val="32"/>
          <w:highlight w:val="none"/>
          <w:shd w:val="clear" w:color="auto" w:fill="auto"/>
        </w:rPr>
        <w:t>完成预算的</w:t>
      </w:r>
      <w:r>
        <w:rPr>
          <w:rFonts w:hint="eastAsia" w:ascii="仿宋_GB2312" w:hAnsi="仿宋_GB2312" w:eastAsia="仿宋_GB2312" w:cs="仿宋_GB2312"/>
          <w:sz w:val="32"/>
          <w:szCs w:val="32"/>
          <w:highlight w:val="none"/>
          <w:shd w:val="clear" w:color="auto" w:fill="auto"/>
          <w:lang w:val="en-US" w:eastAsia="zh-CN"/>
        </w:rPr>
        <w:t>0.00</w:t>
      </w:r>
      <w:r>
        <w:rPr>
          <w:rFonts w:hint="eastAsia" w:ascii="仿宋_GB2312" w:hAnsi="仿宋_GB2312" w:eastAsia="仿宋_GB2312" w:cs="仿宋_GB2312"/>
          <w:sz w:val="32"/>
          <w:szCs w:val="32"/>
          <w:highlight w:val="none"/>
          <w:shd w:val="clear" w:color="auto" w:fill="auto"/>
        </w:rPr>
        <w:t>%，具体情况如下：</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1．因公出国（境）费支出</w:t>
      </w:r>
      <w:r>
        <w:rPr>
          <w:rFonts w:hint="eastAsia" w:ascii="仿宋_GB2312" w:hAnsi="仿宋_GB2312" w:eastAsia="仿宋_GB2312" w:cs="仿宋_GB2312"/>
          <w:sz w:val="32"/>
          <w:szCs w:val="32"/>
          <w:shd w:val="clear" w:color="auto" w:fill="auto"/>
          <w:lang w:val="en-US" w:eastAsia="zh-CN"/>
        </w:rPr>
        <w:t>13.79</w:t>
      </w:r>
      <w:r>
        <w:rPr>
          <w:rFonts w:hint="eastAsia" w:ascii="仿宋_GB2312" w:hAnsi="仿宋_GB2312" w:eastAsia="仿宋_GB2312" w:cs="仿宋_GB2312"/>
          <w:sz w:val="32"/>
          <w:szCs w:val="32"/>
          <w:shd w:val="clear" w:color="auto" w:fill="auto"/>
        </w:rPr>
        <w:t>万元。全年安排机关单位因公出国（境）团组</w:t>
      </w:r>
      <w:r>
        <w:rPr>
          <w:rFonts w:hint="eastAsia" w:ascii="仿宋_GB2312" w:hAnsi="仿宋_GB2312" w:eastAsia="仿宋_GB2312" w:cs="仿宋_GB2312"/>
          <w:sz w:val="32"/>
          <w:szCs w:val="32"/>
          <w:shd w:val="clear" w:color="auto" w:fill="auto"/>
          <w:lang w:val="en-US" w:eastAsia="zh-CN"/>
        </w:rPr>
        <w:t>3</w:t>
      </w:r>
      <w:r>
        <w:rPr>
          <w:rFonts w:hint="eastAsia" w:ascii="仿宋_GB2312" w:hAnsi="仿宋_GB2312" w:eastAsia="仿宋_GB2312" w:cs="仿宋_GB2312"/>
          <w:sz w:val="32"/>
          <w:szCs w:val="32"/>
          <w:shd w:val="clear" w:color="auto" w:fill="auto"/>
        </w:rPr>
        <w:t>个，累计</w:t>
      </w:r>
      <w:r>
        <w:rPr>
          <w:rFonts w:hint="eastAsia" w:ascii="仿宋_GB2312" w:hAnsi="仿宋_GB2312" w:eastAsia="仿宋_GB2312" w:cs="仿宋_GB2312"/>
          <w:sz w:val="32"/>
          <w:szCs w:val="32"/>
          <w:shd w:val="clear" w:color="auto" w:fill="auto"/>
          <w:lang w:val="en-US" w:eastAsia="zh-CN"/>
        </w:rPr>
        <w:t>3</w:t>
      </w:r>
      <w:r>
        <w:rPr>
          <w:rFonts w:hint="eastAsia" w:ascii="仿宋_GB2312" w:hAnsi="仿宋_GB2312" w:eastAsia="仿宋_GB2312" w:cs="仿宋_GB2312"/>
          <w:sz w:val="32"/>
          <w:szCs w:val="32"/>
          <w:shd w:val="clear" w:color="auto" w:fill="auto"/>
        </w:rPr>
        <w:t>人次。开支内容包括：</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lang w:eastAsia="zh-CN"/>
        </w:rPr>
      </w:pPr>
      <w:r>
        <w:rPr>
          <w:rFonts w:hint="eastAsia" w:ascii="仿宋_GB2312" w:hAnsi="仿宋_GB2312" w:eastAsia="仿宋_GB2312" w:cs="仿宋_GB2312"/>
          <w:sz w:val="32"/>
          <w:szCs w:val="32"/>
          <w:shd w:val="clear" w:color="auto" w:fill="auto"/>
        </w:rPr>
        <w:t>会议支出</w:t>
      </w:r>
      <w:r>
        <w:rPr>
          <w:rFonts w:hint="eastAsia" w:ascii="仿宋_GB2312" w:hAnsi="仿宋_GB2312" w:eastAsia="仿宋_GB2312" w:cs="仿宋_GB2312"/>
          <w:sz w:val="32"/>
          <w:szCs w:val="32"/>
          <w:shd w:val="clear" w:color="auto" w:fill="auto"/>
          <w:lang w:val="en-US" w:eastAsia="zh-CN"/>
        </w:rPr>
        <w:t>13.79</w:t>
      </w:r>
      <w:r>
        <w:rPr>
          <w:rFonts w:hint="eastAsia" w:ascii="仿宋_GB2312" w:hAnsi="仿宋_GB2312" w:eastAsia="仿宋_GB2312" w:cs="仿宋_GB2312"/>
          <w:sz w:val="32"/>
          <w:szCs w:val="32"/>
          <w:shd w:val="clear" w:color="auto" w:fill="auto"/>
        </w:rPr>
        <w:t>万元，主要用于参加国际会议</w:t>
      </w:r>
      <w:r>
        <w:rPr>
          <w:rFonts w:hint="eastAsia" w:ascii="仿宋_GB2312" w:hAnsi="仿宋_GB2312" w:eastAsia="仿宋_GB2312" w:cs="仿宋_GB2312"/>
          <w:sz w:val="32"/>
          <w:szCs w:val="32"/>
          <w:shd w:val="clear" w:color="auto" w:fill="auto"/>
          <w:lang w:eastAsia="zh-CN"/>
        </w:rPr>
        <w:t>。</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出国谈判、工作磋商支出</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万元，主要用于参加以下谈判和磋商：境外业务培训支出支出</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万元，主要用于为提高财政管理水平而举办的公共财政支出结构比较研究、社会保障政策等。</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因公出国（境）费支出决算比2016年度增加</w:t>
      </w:r>
      <w:r>
        <w:rPr>
          <w:rFonts w:hint="eastAsia" w:ascii="仿宋_GB2312" w:hAnsi="仿宋_GB2312" w:eastAsia="仿宋_GB2312" w:cs="仿宋_GB2312"/>
          <w:sz w:val="32"/>
          <w:szCs w:val="32"/>
          <w:shd w:val="clear" w:color="auto" w:fill="auto"/>
          <w:lang w:val="en-US" w:eastAsia="zh-CN"/>
        </w:rPr>
        <w:t>13.79</w:t>
      </w:r>
      <w:r>
        <w:rPr>
          <w:rFonts w:hint="eastAsia" w:ascii="仿宋_GB2312" w:hAnsi="仿宋_GB2312" w:eastAsia="仿宋_GB2312" w:cs="仿宋_GB2312"/>
          <w:sz w:val="32"/>
          <w:szCs w:val="32"/>
          <w:shd w:val="clear" w:color="auto" w:fill="auto"/>
        </w:rPr>
        <w:t>万元，增长</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highlight w:val="none"/>
          <w:shd w:val="clear" w:color="auto" w:fill="auto"/>
        </w:rPr>
        <w:t>主要原因是</w:t>
      </w:r>
      <w:r>
        <w:rPr>
          <w:rFonts w:hint="eastAsia" w:ascii="仿宋_GB2312" w:hAnsi="仿宋_GB2312" w:eastAsia="仿宋_GB2312" w:cs="仿宋_GB2312"/>
          <w:sz w:val="32"/>
          <w:szCs w:val="32"/>
          <w:highlight w:val="none"/>
          <w:shd w:val="clear" w:color="auto" w:fill="auto"/>
          <w:lang w:eastAsia="zh-CN"/>
        </w:rPr>
        <w:t>出国费用的增加</w:t>
      </w:r>
      <w:r>
        <w:rPr>
          <w:rFonts w:hint="eastAsia" w:ascii="仿宋_GB2312" w:hAnsi="仿宋_GB2312" w:eastAsia="仿宋_GB2312" w:cs="仿宋_GB2312"/>
          <w:sz w:val="32"/>
          <w:szCs w:val="32"/>
          <w:shd w:val="clear" w:color="auto" w:fill="auto"/>
        </w:rPr>
        <w:t>。</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2．公务用车购置及运行费支出</w:t>
      </w:r>
      <w:r>
        <w:rPr>
          <w:rFonts w:hint="eastAsia" w:ascii="仿宋_GB2312" w:hAnsi="仿宋_GB2312" w:eastAsia="仿宋_GB2312" w:cs="仿宋_GB2312"/>
          <w:sz w:val="32"/>
          <w:szCs w:val="32"/>
          <w:shd w:val="clear" w:color="auto" w:fill="auto"/>
          <w:lang w:val="en-US" w:eastAsia="zh-CN"/>
        </w:rPr>
        <w:t>4.00</w:t>
      </w:r>
      <w:r>
        <w:rPr>
          <w:rFonts w:hint="eastAsia" w:ascii="仿宋_GB2312" w:hAnsi="仿宋_GB2312" w:eastAsia="仿宋_GB2312" w:cs="仿宋_GB2312"/>
          <w:sz w:val="32"/>
          <w:szCs w:val="32"/>
          <w:shd w:val="clear" w:color="auto" w:fill="auto"/>
        </w:rPr>
        <w:t>万元。其中：</w:t>
      </w:r>
    </w:p>
    <w:p>
      <w:pPr>
        <w:widowControl/>
        <w:spacing w:line="567" w:lineRule="exact"/>
        <w:ind w:firstLine="640" w:firstLineChars="200"/>
        <w:jc w:val="left"/>
        <w:rPr>
          <w:rFonts w:hint="eastAsia" w:ascii="仿宋_GB2312" w:hAnsi="仿宋_GB2312" w:eastAsia="仿宋_GB2312" w:cs="仿宋_GB2312"/>
          <w:sz w:val="32"/>
          <w:szCs w:val="32"/>
          <w:highlight w:val="yellow"/>
          <w:shd w:val="clear" w:color="auto" w:fill="auto"/>
        </w:rPr>
      </w:pPr>
      <w:r>
        <w:rPr>
          <w:rFonts w:hint="eastAsia" w:ascii="仿宋_GB2312" w:hAnsi="仿宋_GB2312" w:eastAsia="仿宋_GB2312" w:cs="仿宋_GB2312"/>
          <w:sz w:val="32"/>
          <w:szCs w:val="32"/>
          <w:highlight w:val="none"/>
          <w:shd w:val="clear" w:color="auto" w:fill="auto"/>
        </w:rPr>
        <w:t>公</w:t>
      </w:r>
      <w:r>
        <w:rPr>
          <w:rFonts w:hint="eastAsia" w:ascii="仿宋_GB2312" w:hAnsi="仿宋_GB2312" w:eastAsia="仿宋_GB2312" w:cs="仿宋_GB2312"/>
          <w:sz w:val="32"/>
          <w:szCs w:val="32"/>
          <w:highlight w:val="none"/>
          <w:shd w:val="clear" w:color="auto" w:fill="auto"/>
          <w:lang w:val="en-US" w:eastAsia="zh-CN"/>
        </w:rPr>
        <w:t>务</w:t>
      </w:r>
      <w:r>
        <w:rPr>
          <w:rFonts w:hint="eastAsia" w:ascii="仿宋_GB2312" w:hAnsi="仿宋_GB2312" w:eastAsia="仿宋_GB2312" w:cs="仿宋_GB2312"/>
          <w:sz w:val="32"/>
          <w:szCs w:val="32"/>
          <w:highlight w:val="none"/>
          <w:shd w:val="clear" w:color="auto" w:fill="auto"/>
        </w:rPr>
        <w:t>用车保有量为</w:t>
      </w:r>
      <w:r>
        <w:rPr>
          <w:rFonts w:hint="eastAsia" w:ascii="仿宋_GB2312" w:hAnsi="仿宋_GB2312" w:eastAsia="仿宋_GB2312" w:cs="仿宋_GB2312"/>
          <w:sz w:val="32"/>
          <w:szCs w:val="32"/>
          <w:highlight w:val="none"/>
          <w:shd w:val="clear" w:color="auto" w:fill="auto"/>
          <w:lang w:val="en-US" w:eastAsia="zh-CN"/>
        </w:rPr>
        <w:t>2辆公</w:t>
      </w:r>
      <w:r>
        <w:rPr>
          <w:rFonts w:hint="eastAsia" w:ascii="仿宋_GB2312" w:hAnsi="仿宋_GB2312" w:eastAsia="仿宋_GB2312" w:cs="仿宋_GB2312"/>
          <w:sz w:val="32"/>
          <w:szCs w:val="32"/>
          <w:highlight w:val="none"/>
          <w:shd w:val="clear" w:color="auto" w:fill="auto"/>
        </w:rPr>
        <w:t>务用车购置支出为</w:t>
      </w:r>
      <w:r>
        <w:rPr>
          <w:rFonts w:hint="eastAsia" w:ascii="仿宋_GB2312" w:hAnsi="仿宋_GB2312" w:eastAsia="仿宋_GB2312" w:cs="仿宋_GB2312"/>
          <w:sz w:val="32"/>
          <w:szCs w:val="32"/>
          <w:highlight w:val="none"/>
          <w:shd w:val="clear" w:color="auto" w:fill="auto"/>
          <w:lang w:val="en-US" w:eastAsia="zh-CN"/>
        </w:rPr>
        <w:t>0.00</w:t>
      </w:r>
      <w:r>
        <w:rPr>
          <w:rFonts w:hint="eastAsia" w:ascii="仿宋_GB2312" w:hAnsi="仿宋_GB2312" w:eastAsia="仿宋_GB2312" w:cs="仿宋_GB2312"/>
          <w:sz w:val="32"/>
          <w:szCs w:val="32"/>
          <w:highlight w:val="none"/>
          <w:shd w:val="clear" w:color="auto" w:fill="auto"/>
        </w:rPr>
        <w:t>万元，购置车辆</w:t>
      </w:r>
      <w:r>
        <w:rPr>
          <w:rFonts w:hint="eastAsia" w:ascii="仿宋_GB2312" w:hAnsi="仿宋_GB2312" w:eastAsia="仿宋_GB2312" w:cs="仿宋_GB2312"/>
          <w:sz w:val="32"/>
          <w:szCs w:val="32"/>
          <w:highlight w:val="none"/>
          <w:shd w:val="clear" w:color="auto" w:fill="auto"/>
          <w:lang w:val="en-US" w:eastAsia="zh-CN"/>
        </w:rPr>
        <w:t>0.00</w:t>
      </w:r>
      <w:r>
        <w:rPr>
          <w:rFonts w:hint="eastAsia" w:ascii="仿宋_GB2312" w:hAnsi="仿宋_GB2312" w:eastAsia="仿宋_GB2312" w:cs="仿宋_GB2312"/>
          <w:sz w:val="32"/>
          <w:szCs w:val="32"/>
          <w:highlight w:val="none"/>
          <w:shd w:val="clear" w:color="auto" w:fill="auto"/>
        </w:rPr>
        <w:t>台</w:t>
      </w:r>
      <w:r>
        <w:rPr>
          <w:rFonts w:hint="eastAsia" w:ascii="仿宋_GB2312" w:hAnsi="仿宋_GB2312" w:eastAsia="仿宋_GB2312" w:cs="仿宋_GB2312"/>
          <w:sz w:val="32"/>
          <w:szCs w:val="32"/>
          <w:highlight w:val="none"/>
          <w:shd w:val="clear" w:color="auto" w:fill="auto"/>
          <w:lang w:eastAsia="zh-CN"/>
        </w:rPr>
        <w:t>，</w:t>
      </w:r>
      <w:r>
        <w:rPr>
          <w:rFonts w:hint="eastAsia" w:ascii="仿宋_GB2312" w:hAnsi="仿宋_GB2312" w:eastAsia="仿宋_GB2312" w:cs="仿宋_GB2312"/>
          <w:sz w:val="32"/>
          <w:szCs w:val="32"/>
          <w:highlight w:val="none"/>
          <w:shd w:val="clear" w:color="auto" w:fill="auto"/>
        </w:rPr>
        <w:t>公务用车运行支出</w:t>
      </w:r>
      <w:r>
        <w:rPr>
          <w:rFonts w:hint="eastAsia" w:ascii="仿宋_GB2312" w:hAnsi="仿宋_GB2312" w:eastAsia="仿宋_GB2312" w:cs="仿宋_GB2312"/>
          <w:sz w:val="32"/>
          <w:szCs w:val="32"/>
          <w:highlight w:val="none"/>
          <w:shd w:val="clear" w:color="auto" w:fill="auto"/>
          <w:lang w:val="en-US" w:eastAsia="zh-CN"/>
        </w:rPr>
        <w:t>4.00</w:t>
      </w:r>
      <w:r>
        <w:rPr>
          <w:rFonts w:hint="eastAsia" w:ascii="仿宋_GB2312" w:hAnsi="仿宋_GB2312" w:eastAsia="仿宋_GB2312" w:cs="仿宋_GB2312"/>
          <w:sz w:val="32"/>
          <w:szCs w:val="32"/>
          <w:highlight w:val="none"/>
          <w:shd w:val="clear" w:color="auto" w:fill="auto"/>
        </w:rPr>
        <w:t>万元。主要用于</w:t>
      </w:r>
      <w:r>
        <w:rPr>
          <w:rFonts w:hint="eastAsia" w:ascii="仿宋_GB2312" w:hAnsi="仿宋_GB2312" w:eastAsia="仿宋_GB2312" w:cs="仿宋_GB2312"/>
          <w:sz w:val="32"/>
          <w:szCs w:val="32"/>
          <w:highlight w:val="none"/>
          <w:shd w:val="clear" w:color="auto" w:fill="auto"/>
          <w:lang w:eastAsia="zh-CN"/>
        </w:rPr>
        <w:t>公务用车的加油、维修、保险等支出</w:t>
      </w:r>
      <w:r>
        <w:rPr>
          <w:rFonts w:hint="eastAsia" w:ascii="仿宋_GB2312" w:hAnsi="仿宋_GB2312" w:eastAsia="仿宋_GB2312" w:cs="仿宋_GB2312"/>
          <w:sz w:val="32"/>
          <w:szCs w:val="32"/>
          <w:highlight w:val="none"/>
          <w:shd w:val="clear" w:color="auto" w:fill="auto"/>
        </w:rPr>
        <w:t>。2017年度期末，部门财政拨款公务。</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公务用车购置及运行费支出决算比2016年度</w:t>
      </w:r>
      <w:r>
        <w:rPr>
          <w:rFonts w:hint="eastAsia" w:ascii="仿宋_GB2312" w:hAnsi="仿宋_GB2312" w:eastAsia="仿宋_GB2312" w:cs="仿宋_GB2312"/>
          <w:sz w:val="32"/>
          <w:szCs w:val="32"/>
          <w:shd w:val="clear" w:color="auto" w:fill="auto"/>
          <w:lang w:eastAsia="zh-CN"/>
        </w:rPr>
        <w:t>减</w:t>
      </w:r>
      <w:r>
        <w:rPr>
          <w:rFonts w:hint="eastAsia" w:ascii="仿宋_GB2312" w:hAnsi="仿宋_GB2312" w:eastAsia="仿宋_GB2312" w:cs="仿宋_GB2312"/>
          <w:sz w:val="32"/>
          <w:szCs w:val="32"/>
          <w:shd w:val="clear" w:color="auto" w:fill="auto"/>
        </w:rPr>
        <w:t>少</w:t>
      </w:r>
      <w:r>
        <w:rPr>
          <w:rFonts w:hint="eastAsia" w:ascii="仿宋_GB2312" w:hAnsi="仿宋_GB2312" w:eastAsia="仿宋_GB2312" w:cs="仿宋_GB2312"/>
          <w:sz w:val="32"/>
          <w:szCs w:val="32"/>
          <w:shd w:val="clear" w:color="auto" w:fill="auto"/>
          <w:lang w:val="en-US" w:eastAsia="zh-CN"/>
        </w:rPr>
        <w:t>4.00</w:t>
      </w:r>
      <w:r>
        <w:rPr>
          <w:rFonts w:hint="eastAsia" w:ascii="仿宋_GB2312" w:hAnsi="仿宋_GB2312" w:eastAsia="仿宋_GB2312" w:cs="仿宋_GB2312"/>
          <w:sz w:val="32"/>
          <w:szCs w:val="32"/>
          <w:shd w:val="clear" w:color="auto" w:fill="auto"/>
        </w:rPr>
        <w:t>万元，下降</w:t>
      </w:r>
      <w:r>
        <w:rPr>
          <w:rFonts w:hint="eastAsia" w:ascii="仿宋_GB2312" w:hAnsi="仿宋_GB2312" w:eastAsia="仿宋_GB2312" w:cs="仿宋_GB2312"/>
          <w:sz w:val="32"/>
          <w:szCs w:val="32"/>
          <w:shd w:val="clear" w:color="auto" w:fill="auto"/>
          <w:lang w:val="en-US" w:eastAsia="zh-CN"/>
        </w:rPr>
        <w:t>50.00</w:t>
      </w:r>
      <w:r>
        <w:rPr>
          <w:rFonts w:hint="eastAsia" w:ascii="仿宋_GB2312" w:hAnsi="仿宋_GB2312" w:eastAsia="仿宋_GB2312" w:cs="仿宋_GB2312"/>
          <w:sz w:val="32"/>
          <w:szCs w:val="32"/>
          <w:shd w:val="clear" w:color="auto" w:fill="auto"/>
        </w:rPr>
        <w:t>%,主要原因是</w:t>
      </w:r>
      <w:r>
        <w:rPr>
          <w:rFonts w:hint="eastAsia" w:ascii="仿宋_GB2312" w:hAnsi="仿宋_GB2312" w:eastAsia="仿宋_GB2312" w:cs="仿宋_GB2312"/>
          <w:sz w:val="32"/>
          <w:szCs w:val="32"/>
          <w:shd w:val="clear" w:color="auto" w:fill="auto"/>
          <w:lang w:eastAsia="zh-CN"/>
        </w:rPr>
        <w:t>加强管理，减少公务用车的使用</w:t>
      </w:r>
      <w:r>
        <w:rPr>
          <w:rFonts w:hint="eastAsia" w:ascii="仿宋_GB2312" w:hAnsi="仿宋_GB2312" w:eastAsia="仿宋_GB2312" w:cs="仿宋_GB2312"/>
          <w:sz w:val="32"/>
          <w:szCs w:val="32"/>
          <w:shd w:val="clear" w:color="auto" w:fill="auto"/>
        </w:rPr>
        <w:t>。</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3.公务接待费支出</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w:t>
      </w:r>
      <w:r>
        <w:rPr>
          <w:rFonts w:hint="eastAsia" w:ascii="仿宋_GB2312" w:hAnsi="仿宋_GB2312" w:eastAsia="仿宋_GB2312" w:cs="仿宋_GB2312"/>
          <w:sz w:val="32"/>
          <w:szCs w:val="32"/>
          <w:shd w:val="clear" w:color="auto" w:fill="auto"/>
          <w:lang w:eastAsia="zh-CN"/>
        </w:rPr>
        <w:t>，与去年相比三公经费无变化。</w:t>
      </w:r>
      <w:bookmarkStart w:id="0" w:name="_GoBack"/>
      <w:bookmarkEnd w:id="0"/>
      <w:r>
        <w:rPr>
          <w:rFonts w:hint="eastAsia" w:ascii="仿宋_GB2312" w:hAnsi="仿宋_GB2312" w:eastAsia="仿宋_GB2312" w:cs="仿宋_GB2312"/>
          <w:sz w:val="32"/>
          <w:szCs w:val="32"/>
          <w:shd w:val="clear" w:color="auto" w:fill="auto"/>
        </w:rPr>
        <w:t>其中：</w:t>
      </w:r>
    </w:p>
    <w:p>
      <w:pPr>
        <w:widowControl/>
        <w:spacing w:line="567" w:lineRule="exact"/>
        <w:ind w:firstLine="640" w:firstLineChars="200"/>
        <w:jc w:val="left"/>
        <w:rPr>
          <w:rFonts w:hint="eastAsia" w:ascii="仿宋_GB2312" w:hAnsi="仿宋_GB2312" w:eastAsia="仿宋_GB2312" w:cs="仿宋_GB2312"/>
          <w:sz w:val="32"/>
          <w:szCs w:val="32"/>
          <w:highlight w:val="yellow"/>
          <w:shd w:val="clear" w:color="auto" w:fill="auto"/>
        </w:rPr>
      </w:pPr>
      <w:r>
        <w:rPr>
          <w:rFonts w:hint="eastAsia" w:ascii="仿宋_GB2312" w:hAnsi="仿宋_GB2312" w:eastAsia="仿宋_GB2312" w:cs="仿宋_GB2312"/>
          <w:sz w:val="32"/>
          <w:szCs w:val="32"/>
          <w:shd w:val="clear" w:color="auto" w:fill="auto"/>
        </w:rPr>
        <w:t>外宾接待支出</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w:t>
      </w:r>
    </w:p>
    <w:p>
      <w:pPr>
        <w:widowControl/>
        <w:spacing w:line="567" w:lineRule="exact"/>
        <w:ind w:firstLine="640" w:firstLineChars="200"/>
        <w:jc w:val="left"/>
        <w:rPr>
          <w:rFonts w:hint="eastAsia" w:ascii="仿宋_GB2312" w:hAnsi="仿宋_GB2312" w:eastAsia="仿宋_GB2312" w:cs="仿宋_GB2312"/>
          <w:sz w:val="32"/>
          <w:szCs w:val="32"/>
          <w:highlight w:val="none"/>
          <w:shd w:val="clear" w:color="auto" w:fill="auto"/>
        </w:rPr>
      </w:pPr>
      <w:r>
        <w:rPr>
          <w:rFonts w:hint="eastAsia" w:ascii="仿宋_GB2312" w:hAnsi="仿宋_GB2312" w:eastAsia="仿宋_GB2312" w:cs="仿宋_GB2312"/>
          <w:sz w:val="32"/>
          <w:szCs w:val="32"/>
          <w:highlight w:val="none"/>
          <w:shd w:val="clear" w:color="auto" w:fill="auto"/>
        </w:rPr>
        <w:t>其他国内公务接待支出</w:t>
      </w:r>
      <w:r>
        <w:rPr>
          <w:rFonts w:hint="eastAsia" w:ascii="仿宋_GB2312" w:hAnsi="仿宋_GB2312" w:eastAsia="仿宋_GB2312" w:cs="仿宋_GB2312"/>
          <w:sz w:val="32"/>
          <w:szCs w:val="32"/>
          <w:highlight w:val="none"/>
          <w:shd w:val="clear" w:color="auto" w:fill="auto"/>
          <w:lang w:val="en-US" w:eastAsia="zh-CN"/>
        </w:rPr>
        <w:t>0.00</w:t>
      </w:r>
      <w:r>
        <w:rPr>
          <w:rFonts w:hint="eastAsia" w:ascii="仿宋_GB2312" w:hAnsi="仿宋_GB2312" w:eastAsia="仿宋_GB2312" w:cs="仿宋_GB2312"/>
          <w:sz w:val="32"/>
          <w:szCs w:val="32"/>
          <w:highlight w:val="none"/>
          <w:shd w:val="clear" w:color="auto" w:fill="auto"/>
        </w:rPr>
        <w:t>万元。</w:t>
      </w:r>
    </w:p>
    <w:p>
      <w:pPr>
        <w:widowControl/>
        <w:spacing w:line="567" w:lineRule="exact"/>
        <w:ind w:firstLine="640" w:firstLineChars="200"/>
        <w:jc w:val="left"/>
        <w:rPr>
          <w:rFonts w:hint="eastAsia" w:ascii="仿宋_GB2312" w:hAnsi="仿宋_GB2312" w:eastAsia="仿宋_GB2312" w:cs="仿宋_GB2312"/>
          <w:sz w:val="32"/>
          <w:szCs w:val="32"/>
          <w:highlight w:val="none"/>
          <w:shd w:val="clear" w:color="auto" w:fill="auto"/>
        </w:rPr>
      </w:pPr>
      <w:r>
        <w:rPr>
          <w:rFonts w:hint="eastAsia" w:ascii="仿宋_GB2312" w:hAnsi="仿宋_GB2312" w:eastAsia="仿宋_GB2312" w:cs="仿宋_GB2312"/>
          <w:sz w:val="32"/>
          <w:szCs w:val="32"/>
          <w:highlight w:val="none"/>
          <w:shd w:val="clear" w:color="auto" w:fill="auto"/>
        </w:rPr>
        <w:t>公务接待费支出决算比2016年度增加（减少）</w:t>
      </w:r>
      <w:r>
        <w:rPr>
          <w:rFonts w:hint="eastAsia" w:ascii="仿宋_GB2312" w:hAnsi="仿宋_GB2312" w:eastAsia="仿宋_GB2312" w:cs="仿宋_GB2312"/>
          <w:sz w:val="32"/>
          <w:szCs w:val="32"/>
          <w:highlight w:val="none"/>
          <w:shd w:val="clear" w:color="auto" w:fill="auto"/>
          <w:lang w:val="en-US" w:eastAsia="zh-CN"/>
        </w:rPr>
        <w:t>0.00</w:t>
      </w:r>
      <w:r>
        <w:rPr>
          <w:rFonts w:hint="eastAsia" w:ascii="仿宋_GB2312" w:hAnsi="仿宋_GB2312" w:eastAsia="仿宋_GB2312" w:cs="仿宋_GB2312"/>
          <w:sz w:val="32"/>
          <w:szCs w:val="32"/>
          <w:highlight w:val="none"/>
          <w:shd w:val="clear" w:color="auto" w:fill="auto"/>
        </w:rPr>
        <w:t>万元，增长（下降）</w:t>
      </w:r>
      <w:r>
        <w:rPr>
          <w:rFonts w:hint="eastAsia" w:ascii="仿宋_GB2312" w:hAnsi="仿宋_GB2312" w:eastAsia="仿宋_GB2312" w:cs="仿宋_GB2312"/>
          <w:sz w:val="32"/>
          <w:szCs w:val="32"/>
          <w:highlight w:val="none"/>
          <w:shd w:val="clear" w:color="auto" w:fill="auto"/>
          <w:lang w:val="en-US" w:eastAsia="zh-CN"/>
        </w:rPr>
        <w:t>0.00</w:t>
      </w:r>
      <w:r>
        <w:rPr>
          <w:rFonts w:hint="eastAsia" w:ascii="仿宋_GB2312" w:hAnsi="仿宋_GB2312" w:eastAsia="仿宋_GB2312" w:cs="仿宋_GB2312"/>
          <w:sz w:val="32"/>
          <w:szCs w:val="32"/>
          <w:highlight w:val="none"/>
          <w:shd w:val="clear" w:color="auto" w:fill="auto"/>
        </w:rPr>
        <w:t>%。</w:t>
      </w:r>
    </w:p>
    <w:p>
      <w:pPr>
        <w:widowControl/>
        <w:spacing w:line="567" w:lineRule="exact"/>
        <w:ind w:firstLine="640" w:firstLineChars="200"/>
        <w:jc w:val="left"/>
        <w:rPr>
          <w:rFonts w:hint="eastAsia" w:ascii="仿宋_GB2312" w:hAnsi="仿宋_GB2312" w:eastAsia="仿宋_GB2312" w:cs="仿宋_GB2312"/>
          <w:sz w:val="32"/>
          <w:szCs w:val="32"/>
          <w:highlight w:val="none"/>
          <w:shd w:val="clear" w:color="auto" w:fill="auto"/>
        </w:rPr>
      </w:pPr>
      <w:r>
        <w:rPr>
          <w:rFonts w:hint="eastAsia" w:ascii="仿宋_GB2312" w:hAnsi="仿宋_GB2312" w:eastAsia="仿宋_GB2312" w:cs="仿宋_GB2312"/>
          <w:sz w:val="32"/>
          <w:szCs w:val="32"/>
          <w:highlight w:val="none"/>
          <w:shd w:val="clear" w:color="auto" w:fill="auto"/>
          <w:lang w:eastAsia="zh-CN"/>
        </w:rPr>
        <w:t>郑州市工商业联合会</w:t>
      </w:r>
      <w:r>
        <w:rPr>
          <w:rFonts w:hint="eastAsia" w:ascii="仿宋_GB2312" w:hAnsi="仿宋_GB2312" w:eastAsia="仿宋_GB2312" w:cs="仿宋_GB2312"/>
          <w:sz w:val="32"/>
          <w:szCs w:val="32"/>
          <w:highlight w:val="none"/>
          <w:shd w:val="clear" w:color="auto" w:fill="auto"/>
        </w:rPr>
        <w:t>2017年度共接待国内来访团组</w:t>
      </w:r>
      <w:r>
        <w:rPr>
          <w:rFonts w:hint="eastAsia" w:ascii="仿宋_GB2312" w:hAnsi="仿宋_GB2312" w:eastAsia="仿宋_GB2312" w:cs="仿宋_GB2312"/>
          <w:sz w:val="32"/>
          <w:szCs w:val="32"/>
          <w:highlight w:val="none"/>
          <w:shd w:val="clear" w:color="auto" w:fill="auto"/>
          <w:lang w:val="en-US" w:eastAsia="zh-CN"/>
        </w:rPr>
        <w:t>0.00</w:t>
      </w:r>
      <w:r>
        <w:rPr>
          <w:rFonts w:hint="eastAsia" w:ascii="仿宋_GB2312" w:hAnsi="仿宋_GB2312" w:eastAsia="仿宋_GB2312" w:cs="仿宋_GB2312"/>
          <w:sz w:val="32"/>
          <w:szCs w:val="32"/>
          <w:highlight w:val="none"/>
          <w:shd w:val="clear" w:color="auto" w:fill="auto"/>
        </w:rPr>
        <w:t>个、来访人员</w:t>
      </w:r>
      <w:r>
        <w:rPr>
          <w:rFonts w:hint="eastAsia" w:ascii="仿宋_GB2312" w:hAnsi="仿宋_GB2312" w:eastAsia="仿宋_GB2312" w:cs="仿宋_GB2312"/>
          <w:sz w:val="32"/>
          <w:szCs w:val="32"/>
          <w:highlight w:val="none"/>
          <w:shd w:val="clear" w:color="auto" w:fill="auto"/>
          <w:lang w:val="en-US" w:eastAsia="zh-CN"/>
        </w:rPr>
        <w:t>0.00</w:t>
      </w:r>
      <w:r>
        <w:rPr>
          <w:rFonts w:hint="eastAsia" w:ascii="仿宋_GB2312" w:hAnsi="仿宋_GB2312" w:eastAsia="仿宋_GB2312" w:cs="仿宋_GB2312"/>
          <w:sz w:val="32"/>
          <w:szCs w:val="32"/>
          <w:highlight w:val="none"/>
          <w:shd w:val="clear" w:color="auto" w:fill="auto"/>
        </w:rPr>
        <w:t>人次（不包括陪同人员）。</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八、预算绩效情况说明</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（一）绩效管理工作开展情况</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lang w:eastAsia="zh-CN"/>
        </w:rPr>
        <w:t>因费用少，且是换届等日常工作费用，故未进行绩效管理。</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（二）项目绩效自评结果</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lang w:eastAsia="zh-CN"/>
        </w:rPr>
        <w:t>无</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九、政府性基金预算财政拨款支出决算情况说明</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2017年度政府性基金预算财政拨款支出年初预算为</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万元，支出决算为</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万元，完成年初预算的</w:t>
      </w:r>
      <w:r>
        <w:rPr>
          <w:rFonts w:hint="eastAsia" w:ascii="仿宋_GB2312" w:hAnsi="仿宋_GB2312" w:eastAsia="仿宋_GB2312" w:cs="仿宋_GB2312"/>
          <w:sz w:val="32"/>
          <w:szCs w:val="32"/>
          <w:shd w:val="clear" w:color="auto" w:fill="auto"/>
          <w:lang w:val="en-US" w:eastAsia="zh-CN"/>
        </w:rPr>
        <w:t>0.00</w:t>
      </w:r>
      <w:r>
        <w:rPr>
          <w:rFonts w:hint="eastAsia" w:ascii="仿宋_GB2312" w:hAnsi="仿宋_GB2312" w:eastAsia="仿宋_GB2312" w:cs="仿宋_GB2312"/>
          <w:sz w:val="32"/>
          <w:szCs w:val="32"/>
          <w:shd w:val="clear" w:color="auto" w:fill="auto"/>
        </w:rPr>
        <w:t>%。</w:t>
      </w:r>
    </w:p>
    <w:p>
      <w:pPr>
        <w:widowControl/>
        <w:spacing w:line="567" w:lineRule="exact"/>
        <w:ind w:firstLine="640" w:firstLineChars="200"/>
        <w:jc w:val="left"/>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十、机关运行经费支出情况说明</w:t>
      </w:r>
    </w:p>
    <w:p>
      <w:pPr>
        <w:widowControl/>
        <w:spacing w:line="567"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auto"/>
        </w:rPr>
        <w:t>2017年度机关运行经费支出</w:t>
      </w:r>
      <w:r>
        <w:rPr>
          <w:rFonts w:hint="eastAsia" w:ascii="仿宋_GB2312" w:hAnsi="仿宋_GB2312" w:eastAsia="仿宋_GB2312" w:cs="仿宋_GB2312"/>
          <w:sz w:val="32"/>
          <w:szCs w:val="32"/>
          <w:shd w:val="clear" w:color="auto" w:fill="auto"/>
          <w:lang w:val="en-US" w:eastAsia="zh-CN"/>
        </w:rPr>
        <w:t>374.26</w:t>
      </w:r>
      <w:r>
        <w:rPr>
          <w:rFonts w:hint="eastAsia" w:ascii="仿宋_GB2312" w:hAnsi="仿宋_GB2312" w:eastAsia="仿宋_GB2312" w:cs="仿宋_GB2312"/>
          <w:sz w:val="32"/>
          <w:szCs w:val="32"/>
          <w:shd w:val="clear" w:color="auto" w:fill="auto"/>
        </w:rPr>
        <w:t>万元，较2016年度增加（减少）</w:t>
      </w:r>
      <w:r>
        <w:rPr>
          <w:rFonts w:hint="eastAsia" w:ascii="仿宋_GB2312" w:hAnsi="仿宋_GB2312" w:eastAsia="仿宋_GB2312" w:cs="仿宋_GB2312"/>
          <w:sz w:val="32"/>
          <w:szCs w:val="32"/>
          <w:shd w:val="clear" w:color="auto" w:fill="auto"/>
          <w:lang w:val="en-US" w:eastAsia="zh-CN"/>
        </w:rPr>
        <w:t>61.39</w:t>
      </w:r>
      <w:r>
        <w:rPr>
          <w:rFonts w:hint="eastAsia" w:ascii="仿宋_GB2312" w:hAnsi="仿宋_GB2312" w:eastAsia="仿宋_GB2312" w:cs="仿宋_GB2312"/>
          <w:sz w:val="32"/>
          <w:szCs w:val="32"/>
          <w:shd w:val="clear" w:color="auto" w:fill="auto"/>
        </w:rPr>
        <w:t>万元，增长</w:t>
      </w:r>
      <w:r>
        <w:rPr>
          <w:rFonts w:hint="eastAsia" w:ascii="仿宋_GB2312" w:hAnsi="仿宋_GB2312" w:eastAsia="仿宋_GB2312" w:cs="仿宋_GB2312"/>
          <w:sz w:val="32"/>
          <w:szCs w:val="32"/>
          <w:shd w:val="clear" w:color="auto" w:fill="auto"/>
          <w:lang w:val="en-US" w:eastAsia="zh-CN"/>
        </w:rPr>
        <w:t>16.40</w:t>
      </w:r>
      <w:r>
        <w:rPr>
          <w:rFonts w:hint="eastAsia" w:ascii="仿宋_GB2312" w:hAnsi="仿宋_GB2312" w:eastAsia="仿宋_GB2312" w:cs="仿宋_GB2312"/>
          <w:sz w:val="32"/>
          <w:szCs w:val="32"/>
          <w:shd w:val="clear" w:color="auto" w:fill="auto"/>
        </w:rPr>
        <w:t>%。增加（减少）的主要原因是：</w:t>
      </w:r>
      <w:r>
        <w:rPr>
          <w:rFonts w:hint="eastAsia" w:ascii="仿宋_GB2312" w:hAnsi="仿宋_GB2312" w:eastAsia="仿宋_GB2312" w:cs="仿宋_GB2312"/>
          <w:sz w:val="32"/>
          <w:szCs w:val="32"/>
          <w:shd w:val="clear" w:color="auto" w:fill="auto"/>
          <w:lang w:eastAsia="zh-CN"/>
        </w:rPr>
        <w:t>人员工资水平增加</w:t>
      </w:r>
      <w:r>
        <w:rPr>
          <w:rFonts w:hint="eastAsia" w:ascii="仿宋_GB2312" w:hAnsi="仿宋_GB2312" w:eastAsia="仿宋_GB2312" w:cs="仿宋_GB2312"/>
          <w:sz w:val="32"/>
          <w:szCs w:val="32"/>
          <w:shd w:val="clear" w:color="auto" w:fill="auto"/>
        </w:rPr>
        <w:t>。</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十一、政府采购支出情况说明</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2017年度政府采购支出总额</w:t>
      </w:r>
      <w:r>
        <w:rPr>
          <w:rFonts w:hint="eastAsia" w:ascii="仿宋_GB2312" w:hAnsi="仿宋_GB2312" w:eastAsia="仿宋_GB2312" w:cs="仿宋_GB2312"/>
          <w:sz w:val="32"/>
          <w:szCs w:val="32"/>
          <w:lang w:val="en-US" w:eastAsia="zh-CN"/>
        </w:rPr>
        <w:t>7.79</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7.79</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十二、国有资产占用情况说明</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2017年期末，</w:t>
      </w:r>
      <w:r>
        <w:rPr>
          <w:rFonts w:hint="eastAsia" w:ascii="仿宋_GB2312" w:hAnsi="仿宋_GB2312" w:eastAsia="仿宋_GB2312" w:cs="仿宋_GB2312"/>
          <w:sz w:val="32"/>
          <w:szCs w:val="32"/>
          <w:lang w:eastAsia="zh-CN"/>
        </w:rPr>
        <w:t>郑州市工商业联合会</w:t>
      </w:r>
      <w:r>
        <w:rPr>
          <w:rFonts w:hint="eastAsia" w:ascii="仿宋_GB2312" w:hAnsi="仿宋_GB2312" w:eastAsia="仿宋_GB2312" w:cs="仿宋_GB2312"/>
          <w:sz w:val="32"/>
          <w:szCs w:val="32"/>
        </w:rPr>
        <w:t>共有车辆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辆，其中：一般公务用车</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辆、一般执法执勤用车</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辆、特种专业技术用车</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辆，其他用车</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辆；单位价值50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万元以上通用设备</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台（套），单位价值100万元以上专用设备</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台（套）。</w:t>
      </w:r>
    </w:p>
    <w:p>
      <w:pPr>
        <w:widowControl/>
        <w:spacing w:line="567" w:lineRule="exact"/>
        <w:ind w:firstLine="640" w:firstLineChars="200"/>
        <w:jc w:val="left"/>
        <w:rPr>
          <w:rFonts w:hint="eastAsia" w:ascii="仿宋_GB2312" w:hAnsi="仿宋_GB2312" w:eastAsia="仿宋_GB2312" w:cs="仿宋_GB2312"/>
          <w:sz w:val="32"/>
          <w:szCs w:val="32"/>
        </w:rPr>
        <w:sectPr>
          <w:footerReference r:id="rId11" w:type="default"/>
          <w:type w:val="continuous"/>
          <w:pgSz w:w="11906" w:h="16838"/>
          <w:pgMar w:top="2211" w:right="1418" w:bottom="1871" w:left="1531" w:header="720" w:footer="720" w:gutter="0"/>
          <w:cols w:space="720" w:num="1"/>
          <w:docGrid w:type="lines" w:linePitch="312"/>
        </w:sectPr>
      </w:pPr>
      <w:r>
        <w:rPr>
          <w:rFonts w:hint="eastAsia" w:ascii="仿宋_GB2312" w:hAnsi="仿宋_GB2312" w:eastAsia="仿宋_GB2312" w:cs="仿宋_GB2312"/>
          <w:sz w:val="32"/>
          <w:szCs w:val="32"/>
        </w:rPr>
        <w:t>十三、其他重要事项的情况说明</w:t>
      </w:r>
    </w:p>
    <w:p>
      <w:pPr>
        <w:spacing w:line="567" w:lineRule="exact"/>
        <w:ind w:firstLine="1280" w:firstLineChars="4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p>
      <w:pPr>
        <w:spacing w:line="567" w:lineRule="exact"/>
        <w:jc w:val="center"/>
        <w:rPr>
          <w:rFonts w:hint="eastAsia" w:ascii="仿宋_GB2312" w:hAnsi="仿宋_GB2312" w:eastAsia="仿宋_GB2312" w:cs="仿宋_GB2312"/>
          <w:sz w:val="32"/>
          <w:szCs w:val="32"/>
        </w:rPr>
      </w:pPr>
    </w:p>
    <w:p>
      <w:pPr>
        <w:spacing w:line="567" w:lineRule="exact"/>
        <w:jc w:val="center"/>
        <w:rPr>
          <w:rFonts w:hint="eastAsia" w:ascii="仿宋_GB2312" w:hAnsi="仿宋_GB2312" w:eastAsia="仿宋_GB2312" w:cs="仿宋_GB2312"/>
          <w:sz w:val="48"/>
          <w:szCs w:val="48"/>
        </w:rPr>
      </w:pPr>
    </w:p>
    <w:p>
      <w:pPr>
        <w:spacing w:line="567" w:lineRule="exact"/>
        <w:jc w:val="center"/>
        <w:rPr>
          <w:rFonts w:hint="eastAsia" w:ascii="仿宋_GB2312" w:hAnsi="仿宋_GB2312" w:eastAsia="仿宋_GB2312" w:cs="仿宋_GB2312"/>
          <w:sz w:val="48"/>
          <w:szCs w:val="48"/>
        </w:rPr>
      </w:pPr>
    </w:p>
    <w:p>
      <w:pPr>
        <w:spacing w:line="567" w:lineRule="exact"/>
        <w:jc w:val="center"/>
        <w:rPr>
          <w:rFonts w:hint="eastAsia" w:ascii="仿宋_GB2312" w:hAnsi="仿宋_GB2312" w:eastAsia="仿宋_GB2312" w:cs="仿宋_GB2312"/>
          <w:sz w:val="48"/>
          <w:szCs w:val="48"/>
        </w:rPr>
      </w:pPr>
    </w:p>
    <w:p>
      <w:pPr>
        <w:spacing w:line="567" w:lineRule="exact"/>
        <w:jc w:val="center"/>
        <w:rPr>
          <w:rFonts w:hint="eastAsia" w:ascii="仿宋_GB2312" w:hAnsi="仿宋_GB2312" w:eastAsia="仿宋_GB2312" w:cs="仿宋_GB2312"/>
          <w:sz w:val="48"/>
          <w:szCs w:val="48"/>
        </w:rPr>
      </w:pPr>
    </w:p>
    <w:p>
      <w:pPr>
        <w:spacing w:line="567" w:lineRule="exact"/>
        <w:jc w:val="center"/>
        <w:rPr>
          <w:rFonts w:hint="eastAsia" w:ascii="仿宋_GB2312" w:hAnsi="仿宋_GB2312" w:eastAsia="仿宋_GB2312" w:cs="仿宋_GB2312"/>
          <w:sz w:val="48"/>
          <w:szCs w:val="48"/>
        </w:rPr>
      </w:pPr>
    </w:p>
    <w:p>
      <w:pPr>
        <w:spacing w:line="567" w:lineRule="exact"/>
        <w:jc w:val="center"/>
        <w:rPr>
          <w:rFonts w:hint="eastAsia" w:ascii="仿宋_GB2312" w:hAnsi="仿宋_GB2312" w:eastAsia="仿宋_GB2312" w:cs="仿宋_GB2312"/>
          <w:sz w:val="48"/>
          <w:szCs w:val="48"/>
        </w:rPr>
      </w:pPr>
    </w:p>
    <w:p>
      <w:pPr>
        <w:spacing w:line="567" w:lineRule="exact"/>
        <w:jc w:val="center"/>
        <w:rPr>
          <w:rFonts w:hint="eastAsia" w:ascii="仿宋_GB2312" w:hAnsi="仿宋_GB2312" w:eastAsia="仿宋_GB2312" w:cs="仿宋_GB2312"/>
          <w:sz w:val="48"/>
          <w:szCs w:val="48"/>
        </w:rPr>
      </w:pPr>
      <w:r>
        <w:rPr>
          <w:rFonts w:hint="eastAsia" w:ascii="仿宋_GB2312" w:hAnsi="仿宋_GB2312" w:eastAsia="仿宋_GB2312" w:cs="仿宋_GB2312"/>
          <w:sz w:val="48"/>
          <w:szCs w:val="48"/>
        </w:rPr>
        <w:t>第四部分　　名词解释</w:t>
      </w:r>
    </w:p>
    <w:p>
      <w:pPr>
        <w:spacing w:line="567" w:lineRule="exact"/>
        <w:jc w:val="center"/>
        <w:outlineLvl w:val="0"/>
        <w:rPr>
          <w:rFonts w:hint="eastAsia" w:ascii="仿宋_GB2312" w:hAnsi="仿宋_GB2312" w:eastAsia="仿宋_GB2312" w:cs="仿宋_GB2312"/>
          <w:sz w:val="48"/>
          <w:szCs w:val="48"/>
        </w:rPr>
      </w:pPr>
    </w:p>
    <w:p>
      <w:pPr>
        <w:spacing w:line="567" w:lineRule="exact"/>
        <w:jc w:val="center"/>
        <w:outlineLvl w:val="0"/>
        <w:rPr>
          <w:rFonts w:hint="eastAsia" w:ascii="仿宋_GB2312" w:hAnsi="仿宋_GB2312" w:eastAsia="仿宋_GB2312" w:cs="仿宋_GB2312"/>
          <w:sz w:val="48"/>
          <w:szCs w:val="48"/>
        </w:rPr>
        <w:sectPr>
          <w:footerReference r:id="rId12" w:type="default"/>
          <w:type w:val="continuous"/>
          <w:pgSz w:w="11906" w:h="16838"/>
          <w:pgMar w:top="2211" w:right="1418" w:bottom="1871" w:left="1531" w:header="850" w:footer="992" w:gutter="0"/>
          <w:cols w:space="720" w:num="1"/>
          <w:docGrid w:type="lines" w:linePitch="317"/>
        </w:sectPr>
      </w:pP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一、财政拨款收入：单位从同级政府财政部门取得的各类财政拨款。</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六、其他收入：单位取得的除“财政拨款收入”、“事业收入”、“上级补助收入”、“附属单位上缴收入”、“经营收入”等以外的收入。</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用事业基金弥补收支差额：事业单位在当年收入不足以安排当年支出的情况下，使用以前年度积累的事业基金（事业单位当年收支相抵后按国家规定提取、用于弥补以后年度收支差额的基金）弥补当年收支缺口的资金。</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八、基本支出：为保障机构正常运转、完成日常工作任务而发生的人员支出和公用支出。</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九、项目支出：基本支出之外为完成特定行政任务和事业发展目标所发生的支出。</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pPr>
        <w:widowControl/>
        <w:spacing w:line="567"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十五、年末结转：本年度或以前年度预算安排，已执行但尚未完成或因客观条件发生变化无法按原计划实施，需延迟到以后年度按有关规定继续使用的资金。</w:t>
      </w:r>
    </w:p>
    <w:p>
      <w:pPr>
        <w:widowControl/>
        <w:spacing w:line="567" w:lineRule="exact"/>
        <w:ind w:firstLine="640" w:firstLineChars="200"/>
        <w:jc w:val="left"/>
        <w:rPr>
          <w:rFonts w:hint="eastAsia" w:ascii="仿宋_GB2312" w:hAnsi="仿宋_GB2312" w:eastAsia="仿宋_GB2312" w:cs="仿宋_GB2312"/>
          <w:sz w:val="32"/>
          <w:szCs w:val="32"/>
        </w:rPr>
        <w:sectPr>
          <w:footerReference r:id="rId13" w:type="default"/>
          <w:type w:val="continuous"/>
          <w:pgSz w:w="11906" w:h="16838"/>
          <w:pgMar w:top="2211" w:right="1418" w:bottom="1871" w:left="1531" w:header="851" w:footer="992" w:gutter="0"/>
          <w:cols w:space="720" w:num="1"/>
          <w:docGrid w:type="lines" w:linePitch="319"/>
        </w:sectPr>
      </w:pPr>
      <w:r>
        <w:rPr>
          <w:rFonts w:hint="eastAsia" w:ascii="仿宋_GB2312" w:hAnsi="仿宋_GB2312" w:eastAsia="仿宋_GB2312" w:cs="仿宋_GB2312"/>
          <w:sz w:val="32"/>
          <w:szCs w:val="32"/>
        </w:rPr>
        <w:t>十六、年末结余：本年度或以前年度预算安排，已执行完毕或因客观条件发生变化无法按原预算安排实施，不需要再使用或无法按原预算安排继续使用的资金。</w:t>
      </w:r>
    </w:p>
    <w:tbl>
      <w:tblPr>
        <w:tblpPr w:leftFromText="180" w:rightFromText="180" w:vertAnchor="text" w:horzAnchor="page" w:tblpX="1524" w:tblpY="346"/>
        <w:tblOverlap w:val="never"/>
        <w:tblW w:w="142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60"/>
        <w:gridCol w:w="2080"/>
        <w:gridCol w:w="4540"/>
        <w:gridCol w:w="1340"/>
        <w:gridCol w:w="1860"/>
        <w:gridCol w:w="2060"/>
        <w:gridCol w:w="1080"/>
      </w:tblGrid>
      <w:tr>
        <w:trPr>
          <w:trHeight w:val="640" w:hRule="atLeast"/>
        </w:trPr>
        <w:tc>
          <w:tcPr>
            <w:tcW w:w="1260" w:type="dxa"/>
            <w:tcBorders>
              <w:top w:val="nil"/>
              <w:left w:val="nil"/>
              <w:bottom w:val="nil"/>
              <w:right w:val="nil"/>
            </w:tcBorders>
            <w:vAlign w:val="center"/>
          </w:tcPr>
          <w:p>
            <w:pPr>
              <w:widowControl/>
              <w:spacing w:line="567" w:lineRule="exact"/>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附件2：</w:t>
            </w:r>
          </w:p>
        </w:tc>
        <w:tc>
          <w:tcPr>
            <w:tcW w:w="2080" w:type="dxa"/>
            <w:tcBorders>
              <w:top w:val="nil"/>
              <w:left w:val="nil"/>
              <w:bottom w:val="nil"/>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4540" w:type="dxa"/>
            <w:tcBorders>
              <w:top w:val="nil"/>
              <w:left w:val="nil"/>
              <w:bottom w:val="nil"/>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340" w:type="dxa"/>
            <w:tcBorders>
              <w:top w:val="nil"/>
              <w:left w:val="nil"/>
              <w:bottom w:val="nil"/>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860" w:type="dxa"/>
            <w:tcBorders>
              <w:top w:val="nil"/>
              <w:left w:val="nil"/>
              <w:bottom w:val="nil"/>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60" w:type="dxa"/>
            <w:tcBorders>
              <w:top w:val="nil"/>
              <w:left w:val="nil"/>
              <w:bottom w:val="nil"/>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080" w:type="dxa"/>
            <w:tcBorders>
              <w:top w:val="nil"/>
              <w:left w:val="nil"/>
              <w:bottom w:val="nil"/>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r>
      <w:tr>
        <w:trPr>
          <w:trHeight w:val="1060" w:hRule="atLeast"/>
        </w:trPr>
        <w:tc>
          <w:tcPr>
            <w:tcW w:w="14220" w:type="dxa"/>
            <w:gridSpan w:val="7"/>
            <w:tcBorders>
              <w:top w:val="nil"/>
              <w:left w:val="nil"/>
              <w:bottom w:val="nil"/>
              <w:right w:val="nil"/>
            </w:tcBorders>
            <w:vAlign w:val="center"/>
          </w:tcPr>
          <w:p>
            <w:pPr>
              <w:widowControl/>
              <w:spacing w:line="567" w:lineRule="exact"/>
              <w:jc w:val="center"/>
              <w:textAlignment w:val="bottom"/>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2017年部门决算公开情况统计表</w:t>
            </w:r>
          </w:p>
        </w:tc>
      </w:tr>
      <w:tr>
        <w:trPr>
          <w:trHeight w:val="420" w:hRule="atLeast"/>
        </w:trPr>
        <w:tc>
          <w:tcPr>
            <w:tcW w:w="1260" w:type="dxa"/>
            <w:tcBorders>
              <w:top w:val="single" w:color="auto" w:sz="4" w:space="0"/>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业务处室</w:t>
            </w:r>
          </w:p>
        </w:tc>
        <w:tc>
          <w:tcPr>
            <w:tcW w:w="2080" w:type="dxa"/>
            <w:tcBorders>
              <w:top w:val="single" w:color="auto" w:sz="4" w:space="0"/>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预算单位</w:t>
            </w:r>
          </w:p>
        </w:tc>
        <w:tc>
          <w:tcPr>
            <w:tcW w:w="4540" w:type="dxa"/>
            <w:tcBorders>
              <w:top w:val="single" w:color="auto" w:sz="4" w:space="0"/>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公开网址</w:t>
            </w:r>
          </w:p>
        </w:tc>
        <w:tc>
          <w:tcPr>
            <w:tcW w:w="1340" w:type="dxa"/>
            <w:tcBorders>
              <w:top w:val="single" w:color="auto" w:sz="4" w:space="0"/>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公开时间</w:t>
            </w:r>
          </w:p>
        </w:tc>
        <w:tc>
          <w:tcPr>
            <w:tcW w:w="1860" w:type="dxa"/>
            <w:tcBorders>
              <w:top w:val="single" w:color="auto" w:sz="4" w:space="0"/>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表格是否完整</w:t>
            </w:r>
          </w:p>
        </w:tc>
        <w:tc>
          <w:tcPr>
            <w:tcW w:w="2060" w:type="dxa"/>
            <w:tcBorders>
              <w:top w:val="single" w:color="auto" w:sz="4" w:space="0"/>
              <w:left w:val="nil"/>
              <w:bottom w:val="single" w:color="auto" w:sz="4" w:space="0"/>
              <w:right w:val="nil"/>
            </w:tcBorders>
            <w:vAlign w:val="center"/>
          </w:tcPr>
          <w:p>
            <w:pPr>
              <w:widowControl/>
              <w:spacing w:line="567"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文字说明是否完整</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备注</w:t>
            </w:r>
          </w:p>
        </w:tc>
      </w:tr>
      <w:tr>
        <w:trPr>
          <w:trHeight w:val="400" w:hRule="atLeast"/>
        </w:trPr>
        <w:tc>
          <w:tcPr>
            <w:tcW w:w="126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行政政法处</w:t>
            </w:r>
          </w:p>
        </w:tc>
        <w:tc>
          <w:tcPr>
            <w:tcW w:w="208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郑州市工商业联合会</w:t>
            </w:r>
          </w:p>
        </w:tc>
        <w:tc>
          <w:tcPr>
            <w:tcW w:w="45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0"/>
                <w:szCs w:val="20"/>
              </w:rPr>
            </w:pPr>
          </w:p>
        </w:tc>
        <w:tc>
          <w:tcPr>
            <w:tcW w:w="13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0"/>
                <w:szCs w:val="20"/>
              </w:rPr>
            </w:pPr>
          </w:p>
        </w:tc>
        <w:tc>
          <w:tcPr>
            <w:tcW w:w="186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是</w:t>
            </w:r>
          </w:p>
        </w:tc>
        <w:tc>
          <w:tcPr>
            <w:tcW w:w="2060" w:type="dxa"/>
            <w:tcBorders>
              <w:top w:val="nil"/>
              <w:left w:val="nil"/>
              <w:bottom w:val="single" w:color="auto" w:sz="4" w:space="0"/>
              <w:right w:val="nil"/>
            </w:tcBorders>
            <w:vAlign w:val="center"/>
          </w:tcPr>
          <w:p>
            <w:pPr>
              <w:widowControl/>
              <w:spacing w:line="567"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是</w:t>
            </w:r>
          </w:p>
        </w:tc>
        <w:tc>
          <w:tcPr>
            <w:tcW w:w="108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0"/>
                <w:szCs w:val="20"/>
              </w:rPr>
            </w:pPr>
          </w:p>
        </w:tc>
      </w:tr>
      <w:tr>
        <w:trPr>
          <w:trHeight w:val="400" w:hRule="atLeast"/>
        </w:trPr>
        <w:tc>
          <w:tcPr>
            <w:tcW w:w="126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8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45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3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86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60" w:type="dxa"/>
            <w:tcBorders>
              <w:top w:val="nil"/>
              <w:left w:val="nil"/>
              <w:bottom w:val="single" w:color="auto" w:sz="4" w:space="0"/>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08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r>
      <w:tr>
        <w:trPr>
          <w:trHeight w:val="400" w:hRule="atLeast"/>
        </w:trPr>
        <w:tc>
          <w:tcPr>
            <w:tcW w:w="126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8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45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3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86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60" w:type="dxa"/>
            <w:tcBorders>
              <w:top w:val="nil"/>
              <w:left w:val="nil"/>
              <w:bottom w:val="single" w:color="auto" w:sz="4" w:space="0"/>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08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r>
      <w:tr>
        <w:trPr>
          <w:trHeight w:val="400" w:hRule="atLeast"/>
        </w:trPr>
        <w:tc>
          <w:tcPr>
            <w:tcW w:w="126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8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45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3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86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60" w:type="dxa"/>
            <w:tcBorders>
              <w:top w:val="nil"/>
              <w:left w:val="nil"/>
              <w:bottom w:val="single" w:color="auto" w:sz="4" w:space="0"/>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08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r>
      <w:tr>
        <w:trPr>
          <w:trHeight w:val="400" w:hRule="atLeast"/>
        </w:trPr>
        <w:tc>
          <w:tcPr>
            <w:tcW w:w="126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8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45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3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86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60" w:type="dxa"/>
            <w:tcBorders>
              <w:top w:val="nil"/>
              <w:left w:val="nil"/>
              <w:bottom w:val="single" w:color="auto" w:sz="4" w:space="0"/>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08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r>
      <w:tr>
        <w:trPr>
          <w:trHeight w:val="400" w:hRule="atLeast"/>
        </w:trPr>
        <w:tc>
          <w:tcPr>
            <w:tcW w:w="126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8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45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3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86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60" w:type="dxa"/>
            <w:tcBorders>
              <w:top w:val="nil"/>
              <w:left w:val="nil"/>
              <w:bottom w:val="single" w:color="auto" w:sz="4" w:space="0"/>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08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r>
      <w:tr>
        <w:trPr>
          <w:trHeight w:val="400" w:hRule="atLeast"/>
        </w:trPr>
        <w:tc>
          <w:tcPr>
            <w:tcW w:w="126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8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45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34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860" w:type="dxa"/>
            <w:tcBorders>
              <w:top w:val="nil"/>
              <w:left w:val="nil"/>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2060" w:type="dxa"/>
            <w:tcBorders>
              <w:top w:val="nil"/>
              <w:left w:val="nil"/>
              <w:bottom w:val="single" w:color="auto" w:sz="4" w:space="0"/>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c>
          <w:tcPr>
            <w:tcW w:w="1080" w:type="dxa"/>
            <w:tcBorders>
              <w:top w:val="nil"/>
              <w:left w:val="single" w:color="auto" w:sz="4" w:space="0"/>
              <w:bottom w:val="single" w:color="auto" w:sz="4" w:space="0"/>
              <w:right w:val="single" w:color="auto" w:sz="4" w:space="0"/>
            </w:tcBorders>
            <w:vAlign w:val="center"/>
          </w:tcPr>
          <w:p>
            <w:pPr>
              <w:widowControl/>
              <w:spacing w:line="567" w:lineRule="exact"/>
              <w:jc w:val="center"/>
              <w:rPr>
                <w:rFonts w:hint="eastAsia" w:ascii="仿宋_GB2312" w:hAnsi="仿宋_GB2312" w:eastAsia="仿宋_GB2312" w:cs="仿宋_GB2312"/>
                <w:kern w:val="0"/>
                <w:sz w:val="24"/>
                <w:szCs w:val="24"/>
              </w:rPr>
            </w:pPr>
          </w:p>
        </w:tc>
      </w:tr>
      <w:tr>
        <w:trPr>
          <w:trHeight w:val="300" w:hRule="atLeast"/>
        </w:trPr>
        <w:tc>
          <w:tcPr>
            <w:tcW w:w="13140" w:type="dxa"/>
            <w:gridSpan w:val="6"/>
            <w:tcBorders>
              <w:top w:val="nil"/>
              <w:left w:val="nil"/>
              <w:bottom w:val="nil"/>
              <w:right w:val="nil"/>
            </w:tcBorders>
            <w:vAlign w:val="center"/>
          </w:tcPr>
          <w:p>
            <w:pPr>
              <w:widowControl/>
              <w:spacing w:line="567" w:lineRule="exact"/>
              <w:jc w:val="center"/>
              <w:rPr>
                <w:rFonts w:hint="eastAsia" w:ascii="仿宋_GB2312" w:hAnsi="仿宋_GB2312" w:eastAsia="仿宋_GB2312" w:cs="仿宋_GB2312"/>
                <w:b/>
                <w:bCs/>
                <w:color w:val="000000"/>
                <w:kern w:val="0"/>
                <w:sz w:val="24"/>
                <w:szCs w:val="24"/>
              </w:rPr>
            </w:pPr>
            <w:r>
              <w:rPr>
                <w:rFonts w:hint="eastAsia" w:ascii="仿宋_GB2312" w:hAnsi="仿宋_GB2312" w:eastAsia="仿宋_GB2312" w:cs="仿宋_GB2312"/>
                <w:b/>
                <w:bCs/>
                <w:color w:val="000000"/>
                <w:kern w:val="0"/>
                <w:sz w:val="24"/>
                <w:szCs w:val="24"/>
              </w:rPr>
              <w:t>注：请打开网址核对是否能正确显示，公开内容是否正确。</w:t>
            </w:r>
          </w:p>
        </w:tc>
        <w:tc>
          <w:tcPr>
            <w:tcW w:w="1080" w:type="dxa"/>
            <w:tcBorders>
              <w:top w:val="nil"/>
              <w:left w:val="nil"/>
              <w:bottom w:val="nil"/>
              <w:right w:val="nil"/>
            </w:tcBorders>
            <w:vAlign w:val="center"/>
          </w:tcPr>
          <w:p>
            <w:pPr>
              <w:widowControl/>
              <w:spacing w:line="567" w:lineRule="exact"/>
              <w:jc w:val="center"/>
              <w:rPr>
                <w:rFonts w:hint="eastAsia" w:ascii="仿宋_GB2312" w:hAnsi="仿宋_GB2312" w:eastAsia="仿宋_GB2312" w:cs="仿宋_GB2312"/>
                <w:kern w:val="0"/>
                <w:sz w:val="24"/>
                <w:szCs w:val="24"/>
              </w:rPr>
            </w:pPr>
          </w:p>
        </w:tc>
      </w:tr>
    </w:tbl>
    <w:p>
      <w:pPr>
        <w:widowControl/>
        <w:wordWrap/>
        <w:adjustRightInd w:val="0"/>
        <w:snapToGrid w:val="0"/>
        <w:spacing w:line="20" w:lineRule="exact"/>
        <w:jc w:val="both"/>
        <w:textAlignment w:val="auto"/>
        <w:outlineLvl w:val="9"/>
        <w:rPr>
          <w:rFonts w:hint="eastAsia" w:ascii="仿宋_GB2312" w:hAnsi="仿宋_GB2312" w:eastAsia="仿宋_GB2312" w:cs="仿宋_GB2312"/>
          <w:sz w:val="32"/>
          <w:szCs w:val="32"/>
        </w:rPr>
      </w:pPr>
    </w:p>
    <w:sectPr>
      <w:type w:val="continuous"/>
      <w:pgSz w:w="16838" w:h="11906" w:orient="landscape"/>
      <w:pgMar w:top="2211" w:right="1418" w:bottom="1871" w:left="1531" w:header="851" w:footer="992" w:gutter="0"/>
      <w:cols w:space="720" w:num="1"/>
      <w:docGrid w:type="lines" w:linePitch="31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1" w:usb1="080E0000" w:usb2="00000000" w:usb3="00000000" w:csb0="00040000" w:csb1="00000000"/>
  </w:font>
  <w:font w:name="Calibri">
    <w:panose1 w:val="020F0502020204030204"/>
    <w:charset w:val="00"/>
    <w:family w:val="auto"/>
    <w:pitch w:val="default"/>
    <w:sig w:usb0="E00002FF" w:usb1="4000ACFF" w:usb2="00000001" w:usb3="00000000" w:csb0="2000019F" w:csb1="00000000"/>
  </w:font>
  <w:font w:name="方正仿宋简体">
    <w:altName w:val="宋体"/>
    <w:panose1 w:val="02010601030101010101"/>
    <w:charset w:val="86"/>
    <w:family w:val="auto"/>
    <w:pitch w:val="default"/>
    <w:sig w:usb0="00000001" w:usb1="080E0000" w:usb2="00000010" w:usb3="00000000" w:csb0="00040000" w:csb1="00000000"/>
  </w:font>
  <w:font w:name="方正小标宋简体">
    <w:altName w:val="微软雅黑"/>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Times New Roman" w:hAnsi="Times New Roman" w:eastAsia="宋体" w:cs="Times New Roman"/>
        <w:kern w:val="2"/>
        <w:sz w:val="18"/>
        <w:szCs w:val="18"/>
        <w:lang w:val="en-US" w:eastAsia="zh-CN" w:bidi="ar-SA"/>
      </w:rPr>
      <w:pict>
        <v:shape id="_x0000_s2049" o:spid="_x0000_s1025" type="#_x0000_t202" style="position:absolute;left:0;margin-top:-9.75pt;height:144pt;width:144pt;mso-position-horizontal:outside;mso-position-horizontal-relative:margin;mso-wrap-style:none;rotation:0f;z-index:25167462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1</w:t>
                </w:r>
                <w:r>
                  <w:rPr>
                    <w:rFonts w:hint="eastAsia" w:ascii="宋体" w:hAnsi="宋体" w:cs="宋体"/>
                    <w:sz w:val="28"/>
                    <w:szCs w:val="28"/>
                  </w:rPr>
                  <w:fldChar w:fldCharType="end"/>
                </w:r>
                <w:r>
                  <w:rPr>
                    <w:rFonts w:hint="eastAsia" w:ascii="宋体" w:hAnsi="宋体" w:cs="宋体"/>
                    <w:sz w:val="28"/>
                    <w:szCs w:val="28"/>
                  </w:rPr>
                  <w:t>—</w:t>
                </w:r>
              </w:p>
            </w:txbxContent>
          </v:textbox>
        </v:shape>
      </w:pict>
    </w:r>
    <w:r>
      <w:rPr>
        <w:rFonts w:ascii="Times New Roman" w:hAnsi="Times New Roman" w:eastAsia="宋体" w:cs="Times New Roman"/>
        <w:kern w:val="2"/>
        <w:sz w:val="18"/>
        <w:szCs w:val="18"/>
        <w:lang w:val="en-US" w:eastAsia="zh-CN" w:bidi="ar-SA"/>
      </w:rPr>
      <w:pict>
        <v:shape id="_x0000_s2050" o:spid="_x0000_s1026" type="#_x0000_t202" style="position:absolute;left:0;margin-top:-7.5pt;height:144pt;width:144pt;mso-position-horizontal:outside;mso-position-horizontal-relative:margin;mso-wrap-style:none;rotation:0f;z-index:25166438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t>24</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Times New Roman" w:hAnsi="Times New Roman" w:eastAsia="宋体" w:cs="Times New Roman"/>
        <w:kern w:val="2"/>
        <w:sz w:val="18"/>
        <w:szCs w:val="18"/>
        <w:lang w:val="en-US" w:eastAsia="zh-CN" w:bidi="ar-SA"/>
      </w:rPr>
      <w:pict>
        <v:shape id="_x0000_s2051" o:spid="_x0000_s1027" type="#_x0000_t202" style="position:absolute;left:0;margin-top:-23.25pt;height:144pt;width:144pt;mso-position-horizontal:outside;mso-position-horizontal-relative:margin;mso-wrap-style:none;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2</w:t>
                </w:r>
                <w:r>
                  <w:rPr>
                    <w:rFonts w:hint="eastAsia" w:ascii="宋体" w:hAnsi="宋体" w:cs="宋体"/>
                    <w:sz w:val="28"/>
                    <w:szCs w:val="28"/>
                  </w:rPr>
                  <w:fldChar w:fldCharType="end"/>
                </w:r>
                <w:r>
                  <w:rPr>
                    <w:rFonts w:hint="eastAsia" w:ascii="宋体" w:hAnsi="宋体" w:cs="宋体"/>
                    <w:sz w:val="28"/>
                    <w:szCs w:val="28"/>
                  </w:rPr>
                  <w:t>—</w:t>
                </w:r>
              </w:p>
            </w:txbxContent>
          </v:textbox>
        </v:shape>
      </w:pict>
    </w:r>
    <w:r>
      <w:rPr>
        <w:rFonts w:ascii="Times New Roman" w:hAnsi="Times New Roman" w:eastAsia="宋体" w:cs="Times New Roman"/>
        <w:kern w:val="2"/>
        <w:sz w:val="18"/>
        <w:szCs w:val="18"/>
        <w:lang w:val="en-US" w:eastAsia="zh-CN" w:bidi="ar-SA"/>
      </w:rPr>
      <w:pict>
        <v:shape id="_x0000_s2052" o:spid="_x0000_s1028" type="#_x0000_t202" style="position:absolute;left:0;margin-top:0pt;height:144pt;width:144pt;mso-position-horizontal:center;mso-position-horizontal-relative:margin;mso-wrap-style:none;rotation:0f;z-index:251660288;"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Times New Roman" w:hAnsi="Times New Roman" w:eastAsia="宋体" w:cs="Times New Roman"/>
        <w:kern w:val="2"/>
        <w:sz w:val="18"/>
        <w:szCs w:val="18"/>
        <w:lang w:val="en-US" w:eastAsia="zh-CN" w:bidi="ar-SA"/>
      </w:rPr>
      <w:pict>
        <v:shape id="_x0000_s2053" o:spid="_x0000_s1029" type="#_x0000_t202" style="position:absolute;left:0;margin-top:-22.5pt;height:144pt;width:144pt;mso-position-horizontal:outside;mso-position-horizontal-relative:margin;mso-wrap-style:none;rotation:0f;z-index:251675648;"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3</w:t>
                </w:r>
                <w:r>
                  <w:rPr>
                    <w:rFonts w:hint="eastAsia" w:ascii="宋体" w:hAnsi="宋体" w:cs="宋体"/>
                    <w:sz w:val="28"/>
                    <w:szCs w:val="28"/>
                  </w:rPr>
                  <w:fldChar w:fldCharType="end"/>
                </w:r>
                <w:r>
                  <w:rPr>
                    <w:rFonts w:hint="eastAsia" w:ascii="宋体" w:hAnsi="宋体" w:cs="宋体"/>
                    <w:sz w:val="28"/>
                    <w:szCs w:val="28"/>
                  </w:rPr>
                  <w:t>—</w:t>
                </w:r>
              </w:p>
            </w:txbxContent>
          </v:textbox>
        </v:shape>
      </w:pict>
    </w:r>
    <w:r>
      <w:rPr>
        <w:rFonts w:ascii="Times New Roman" w:hAnsi="Times New Roman" w:eastAsia="宋体" w:cs="Times New Roman"/>
        <w:kern w:val="2"/>
        <w:sz w:val="18"/>
        <w:szCs w:val="18"/>
        <w:lang w:val="en-US" w:eastAsia="zh-CN" w:bidi="ar-SA"/>
      </w:rPr>
      <w:pict>
        <v:shape id="_x0000_s2054" o:spid="_x0000_s1030" type="#_x0000_t202" style="position:absolute;left:0;margin-left:363.35pt;margin-top:806.9pt;height:144pt;width:144pt;mso-position-horizontal-relative:margin;mso-position-vertical-relative:page;mso-wrap-style:none;rotation:0f;z-index:251662336;"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p>
            </w:txbxContent>
          </v:textbox>
        </v:shape>
      </w:pict>
    </w:r>
    <w:r>
      <w:rPr>
        <w:rFonts w:ascii="Times New Roman" w:hAnsi="Times New Roman" w:eastAsia="宋体" w:cs="Times New Roman"/>
        <w:kern w:val="2"/>
        <w:sz w:val="18"/>
        <w:szCs w:val="18"/>
        <w:lang w:val="en-US" w:eastAsia="zh-CN" w:bidi="ar-SA"/>
      </w:rPr>
      <w:pict>
        <v:shape id="_x0000_s2055" o:spid="_x0000_s1031" type="#_x0000_t202" style="position:absolute;left:0;margin-top:0pt;height:144pt;width:144pt;mso-position-horizontal:center;mso-position-horizontal-relative:margin;mso-wrap-style:none;rotation:0f;z-index:251661312;"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Times New Roman" w:hAnsi="Times New Roman" w:eastAsia="宋体" w:cs="Times New Roman"/>
        <w:kern w:val="2"/>
        <w:sz w:val="18"/>
        <w:szCs w:val="18"/>
        <w:lang w:val="en-US" w:eastAsia="zh-CN" w:bidi="ar-SA"/>
      </w:rPr>
      <w:pict>
        <v:shape id="_x0000_s2056" o:spid="_x0000_s1032" type="#_x0000_t202" style="position:absolute;left:0;margin-top:-19.5pt;height:144pt;width:144pt;mso-position-horizontal:outside;mso-position-horizontal-relative:margin;mso-wrap-style:none;rotation:0f;z-index:251665408;"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1</w:t>
                </w:r>
                <w:r>
                  <w:rPr>
                    <w:rFonts w:hint="eastAsia" w:ascii="宋体" w:hAnsi="宋体" w:cs="宋体"/>
                    <w:sz w:val="28"/>
                    <w:szCs w:val="28"/>
                  </w:rPr>
                  <w:fldChar w:fldCharType="end"/>
                </w:r>
                <w:r>
                  <w:rPr>
                    <w:rFonts w:hint="eastAsia" w:ascii="宋体" w:hAnsi="宋体" w:cs="宋体"/>
                    <w:sz w:val="28"/>
                    <w:szCs w:val="28"/>
                  </w:rPr>
                  <w:t>—</w:t>
                </w:r>
              </w:p>
            </w:txbxContent>
          </v:textbox>
        </v:shape>
      </w:pict>
    </w:r>
    <w:r>
      <w:rPr>
        <w:rFonts w:ascii="Times New Roman" w:hAnsi="Times New Roman" w:eastAsia="宋体" w:cs="Times New Roman"/>
        <w:kern w:val="2"/>
        <w:sz w:val="18"/>
        <w:szCs w:val="18"/>
        <w:lang w:val="en-US" w:eastAsia="zh-CN" w:bidi="ar-SA"/>
      </w:rPr>
      <w:pict>
        <v:shape id="_x0000_s2057" o:spid="_x0000_s1033" type="#_x0000_t202" style="position:absolute;left:0;margin-left:363.35pt;margin-top:806.9pt;height:144pt;width:144pt;mso-position-horizontal-relative:margin;mso-position-vertical-relative:page;mso-wrap-style:none;rotation:0f;z-index:251667456;"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p>
            </w:txbxContent>
          </v:textbox>
        </v:shape>
      </w:pict>
    </w:r>
    <w:r>
      <w:rPr>
        <w:rFonts w:ascii="Times New Roman" w:hAnsi="Times New Roman" w:eastAsia="宋体" w:cs="Times New Roman"/>
        <w:kern w:val="2"/>
        <w:sz w:val="18"/>
        <w:szCs w:val="18"/>
        <w:lang w:val="en-US" w:eastAsia="zh-CN" w:bidi="ar-SA"/>
      </w:rPr>
      <w:pict>
        <v:shape id="_x0000_s2058" o:spid="_x0000_s1034" type="#_x0000_t202" style="position:absolute;left:0;margin-top:0pt;height:144pt;width:144pt;mso-position-horizontal:center;mso-position-horizontal-relative:margin;mso-wrap-style:none;rotation:0f;z-index:251666432;"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Times New Roman" w:hAnsi="Times New Roman" w:eastAsia="宋体" w:cs="Times New Roman"/>
        <w:kern w:val="2"/>
        <w:sz w:val="18"/>
        <w:szCs w:val="18"/>
        <w:lang w:val="en-US" w:eastAsia="zh-CN" w:bidi="ar-SA"/>
      </w:rPr>
      <w:pict>
        <v:shape id="_x0000_s2059" o:spid="_x0000_s1035" type="#_x0000_t202" style="position:absolute;left:0;margin-top:-30pt;height:144pt;width:144pt;mso-position-horizontal:outside;mso-position-horizontal-relative:margin;mso-wrap-style:none;rotation:0f;z-index:251676672;"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4</w:t>
                </w:r>
                <w:r>
                  <w:rPr>
                    <w:rFonts w:hint="eastAsia" w:ascii="宋体" w:hAnsi="宋体" w:cs="宋体"/>
                    <w:sz w:val="28"/>
                    <w:szCs w:val="28"/>
                  </w:rPr>
                  <w:fldChar w:fldCharType="end"/>
                </w:r>
                <w:r>
                  <w:rPr>
                    <w:rFonts w:hint="eastAsia" w:ascii="宋体" w:hAnsi="宋体" w:cs="宋体"/>
                    <w:sz w:val="28"/>
                    <w:szCs w:val="28"/>
                  </w:rPr>
                  <w:t>—</w:t>
                </w:r>
              </w:p>
            </w:txbxContent>
          </v:textbox>
        </v:shape>
      </w:pict>
    </w:r>
    <w:r>
      <w:rPr>
        <w:rFonts w:ascii="Times New Roman" w:hAnsi="Times New Roman" w:eastAsia="宋体" w:cs="Times New Roman"/>
        <w:kern w:val="2"/>
        <w:sz w:val="18"/>
        <w:szCs w:val="18"/>
        <w:lang w:val="en-US" w:eastAsia="zh-CN" w:bidi="ar-SA"/>
      </w:rPr>
      <w:pict>
        <v:shape id="_x0000_s2060" o:spid="_x0000_s1036" type="#_x0000_t202" style="position:absolute;left:0;margin-left:363.35pt;margin-top:806.9pt;height:144pt;width:144pt;mso-position-horizontal-relative:margin;mso-position-vertical-relative:page;mso-wrap-style:none;rotation:0f;z-index:25166950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p>
            </w:txbxContent>
          </v:textbox>
        </v:shape>
      </w:pict>
    </w:r>
    <w:r>
      <w:rPr>
        <w:rFonts w:ascii="Times New Roman" w:hAnsi="Times New Roman" w:eastAsia="宋体" w:cs="Times New Roman"/>
        <w:kern w:val="2"/>
        <w:sz w:val="18"/>
        <w:szCs w:val="18"/>
        <w:lang w:val="en-US" w:eastAsia="zh-CN" w:bidi="ar-SA"/>
      </w:rPr>
      <w:pict>
        <v:shape id="_x0000_s2061" o:spid="_x0000_s1037" type="#_x0000_t202" style="position:absolute;left:0;margin-top:0pt;height:144pt;width:144pt;mso-position-horizontal:center;mso-position-horizontal-relative:margin;mso-wrap-style:none;rotation:0f;z-index:25166848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Times New Roman" w:hAnsi="Times New Roman" w:eastAsia="宋体" w:cs="Times New Roman"/>
        <w:kern w:val="2"/>
        <w:sz w:val="18"/>
        <w:szCs w:val="18"/>
        <w:lang w:val="en-US" w:eastAsia="zh-CN" w:bidi="ar-SA"/>
      </w:rPr>
      <w:pict>
        <v:shape id="_x0000_s2062" o:spid="_x0000_s1038" type="#_x0000_t202" style="position:absolute;left:0;margin-top:0pt;height:144pt;width:144pt;mso-position-horizontal:outside;mso-position-horizontal-relative:margin;mso-wrap-style:none;rotation:0f;z-index:25166336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5</w:t>
                </w:r>
                <w:r>
                  <w:rPr>
                    <w:rFonts w:hint="eastAsia" w:ascii="宋体" w:hAnsi="宋体" w:cs="宋体"/>
                    <w:sz w:val="28"/>
                    <w:szCs w:val="28"/>
                  </w:rPr>
                  <w:fldChar w:fldCharType="end"/>
                </w:r>
                <w:r>
                  <w:rPr>
                    <w:rFonts w:hint="eastAsia" w:ascii="宋体" w:hAnsi="宋体" w:cs="宋体"/>
                    <w:sz w:val="28"/>
                    <w:szCs w:val="28"/>
                  </w:rPr>
                  <w:t>—</w:t>
                </w:r>
              </w:p>
            </w:txbxContent>
          </v:textbox>
        </v:shape>
      </w:pict>
    </w:r>
    <w:r>
      <w:rPr>
        <w:rFonts w:ascii="Times New Roman" w:hAnsi="Times New Roman" w:eastAsia="宋体" w:cs="Times New Roman"/>
        <w:kern w:val="2"/>
        <w:sz w:val="18"/>
        <w:szCs w:val="18"/>
        <w:lang w:val="en-US" w:eastAsia="zh-CN" w:bidi="ar-SA"/>
      </w:rPr>
      <w:pict>
        <v:shape id="_x0000_s2063" o:spid="_x0000_s1039" type="#_x0000_t202" style="position:absolute;left:0;margin-top:0pt;height:144pt;width:144pt;mso-position-horizontal:outside;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ascii="Times New Roman" w:hAnsi="Times New Roman"/>
                    <w:sz w:val="28"/>
                    <w:szCs w:val="28"/>
                  </w:rPr>
                </w:pP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Times New Roman" w:hAnsi="Times New Roman" w:eastAsia="宋体" w:cs="Times New Roman"/>
        <w:kern w:val="2"/>
        <w:sz w:val="18"/>
        <w:szCs w:val="18"/>
        <w:lang w:val="en-US" w:eastAsia="zh-CN" w:bidi="ar-SA"/>
      </w:rPr>
      <w:pict>
        <v:shape id="_x0000_s2064" o:spid="_x0000_s1040" type="#_x0000_t202" style="position:absolute;left:0;margin-top:-24pt;height:144pt;width:144pt;mso-position-horizontal:outside;mso-position-horizontal-relative:margin;mso-wrap-style:none;rotation:0f;z-index:251677696;"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17</w:t>
                </w:r>
                <w:r>
                  <w:rPr>
                    <w:rFonts w:hint="eastAsia" w:ascii="宋体" w:hAnsi="宋体" w:cs="宋体"/>
                    <w:sz w:val="28"/>
                    <w:szCs w:val="28"/>
                  </w:rPr>
                  <w:fldChar w:fldCharType="end"/>
                </w:r>
                <w:r>
                  <w:rPr>
                    <w:rFonts w:hint="eastAsia" w:ascii="宋体" w:hAnsi="宋体" w:cs="宋体"/>
                    <w:sz w:val="28"/>
                    <w:szCs w:val="28"/>
                  </w:rPr>
                  <w:t>—</w:t>
                </w:r>
              </w:p>
            </w:txbxContent>
          </v:textbox>
        </v:shape>
      </w:pict>
    </w:r>
    <w:r>
      <w:rPr>
        <w:rFonts w:ascii="Times New Roman" w:hAnsi="Times New Roman" w:eastAsia="宋体" w:cs="Times New Roman"/>
        <w:kern w:val="2"/>
        <w:sz w:val="18"/>
        <w:szCs w:val="18"/>
        <w:lang w:val="en-US" w:eastAsia="zh-CN" w:bidi="ar-SA"/>
      </w:rPr>
      <w:pict>
        <v:shape id="_x0000_s2065" o:spid="_x0000_s1041" type="#_x0000_t202" style="position:absolute;left:0;margin-top:0pt;height:144pt;width:144pt;mso-position-horizontal:outside;mso-position-horizontal-relative:margin;mso-wrap-style:none;rotation:0f;z-index:251670528;"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ascii="Times New Roman" w:hAnsi="Times New Roman"/>
                    <w:sz w:val="28"/>
                    <w:szCs w:val="28"/>
                  </w:rPr>
                </w:pP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Times New Roman" w:hAnsi="Times New Roman" w:eastAsia="宋体" w:cs="Times New Roman"/>
        <w:kern w:val="2"/>
        <w:sz w:val="18"/>
        <w:szCs w:val="18"/>
        <w:lang w:val="en-US" w:eastAsia="zh-CN" w:bidi="ar-SA"/>
      </w:rPr>
      <w:pict>
        <v:shape id="_x0000_s2066" o:spid="_x0000_s1042" type="#_x0000_t202" style="position:absolute;left:0;margin-top:-23.25pt;height:144pt;width:144pt;mso-position-horizontal:outside;mso-position-horizontal-relative:margin;mso-wrap-style:none;rotation:0f;z-index:251672576;"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18</w:t>
                </w:r>
                <w:r>
                  <w:rPr>
                    <w:rFonts w:hint="eastAsia" w:ascii="宋体" w:hAnsi="宋体" w:cs="宋体"/>
                    <w:sz w:val="28"/>
                    <w:szCs w:val="28"/>
                  </w:rPr>
                  <w:fldChar w:fldCharType="end"/>
                </w:r>
                <w:r>
                  <w:rPr>
                    <w:rFonts w:hint="eastAsia" w:ascii="宋体" w:hAnsi="宋体" w:cs="宋体"/>
                    <w:sz w:val="28"/>
                    <w:szCs w:val="28"/>
                  </w:rPr>
                  <w:t>—</w:t>
                </w:r>
              </w:p>
            </w:txbxContent>
          </v:textbox>
        </v:shape>
      </w:pict>
    </w:r>
    <w:r>
      <w:rPr>
        <w:rFonts w:ascii="Times New Roman" w:hAnsi="Times New Roman" w:eastAsia="宋体" w:cs="Times New Roman"/>
        <w:kern w:val="2"/>
        <w:sz w:val="18"/>
        <w:szCs w:val="18"/>
        <w:lang w:val="en-US" w:eastAsia="zh-CN" w:bidi="ar-SA"/>
      </w:rPr>
      <w:pict>
        <v:shape id="_x0000_s2067" o:spid="_x0000_s1043" type="#_x0000_t202" style="position:absolute;left:0;margin-top:0pt;height:144pt;width:144pt;mso-position-horizontal:outside;mso-position-horizontal-relative:margin;mso-wrap-style:none;rotation:0f;z-index:251671552;"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ascii="Times New Roman" w:hAnsi="Times New Roman"/>
                    <w:sz w:val="28"/>
                    <w:szCs w:val="28"/>
                  </w:rPr>
                </w:pP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Times New Roman" w:hAnsi="Times New Roman" w:eastAsia="宋体" w:cs="Times New Roman"/>
        <w:kern w:val="2"/>
        <w:sz w:val="18"/>
        <w:szCs w:val="18"/>
        <w:lang w:val="en-US" w:eastAsia="zh-CN" w:bidi="ar-SA"/>
      </w:rPr>
      <w:pict>
        <v:shape id="_x0000_s2068" o:spid="_x0000_s1044" type="#_x0000_t202" style="position:absolute;left:0;margin-top:-8.25pt;height:144pt;width:144pt;mso-position-horizontal:outside;mso-position-horizontal-relative:margin;mso-wrap-style:none;rotation:0f;z-index:25167872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23</w:t>
                </w:r>
                <w:r>
                  <w:rPr>
                    <w:rFonts w:hint="eastAsia" w:ascii="宋体" w:hAnsi="宋体" w:cs="宋体"/>
                    <w:sz w:val="28"/>
                    <w:szCs w:val="28"/>
                  </w:rPr>
                  <w:fldChar w:fldCharType="end"/>
                </w:r>
                <w:r>
                  <w:rPr>
                    <w:rFonts w:hint="eastAsia" w:ascii="宋体" w:hAnsi="宋体" w:cs="宋体"/>
                    <w:sz w:val="28"/>
                    <w:szCs w:val="28"/>
                  </w:rPr>
                  <w:t>—</w:t>
                </w:r>
              </w:p>
            </w:txbxContent>
          </v:textbox>
        </v:shape>
      </w:pict>
    </w:r>
    <w:r>
      <w:rPr>
        <w:rFonts w:ascii="Times New Roman" w:hAnsi="Times New Roman" w:eastAsia="宋体" w:cs="Times New Roman"/>
        <w:kern w:val="2"/>
        <w:sz w:val="18"/>
        <w:szCs w:val="18"/>
        <w:lang w:val="en-US" w:eastAsia="zh-CN" w:bidi="ar-SA"/>
      </w:rPr>
      <w:pict>
        <v:shape id="_x0000_s2069" o:spid="_x0000_s1045" type="#_x0000_t202" style="position:absolute;left:0;margin-top:0pt;height:144pt;width:144pt;mso-position-horizontal:outside;mso-position-horizontal-relative:margin;mso-wrap-style:none;rotation:0f;z-index:25167360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ascii="Times New Roman" w:hAnsi="Times New Roman"/>
                    <w:sz w:val="28"/>
                    <w:szCs w:val="28"/>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00626455">
    <w:nsid w:val="5971BE17"/>
    <w:multiLevelType w:val="singleLevel"/>
    <w:tmpl w:val="5971BE17"/>
    <w:lvl w:ilvl="0" w:tentative="1">
      <w:start w:val="1"/>
      <w:numFmt w:val="chineseCounting"/>
      <w:suff w:val="nothing"/>
      <w:lvlText w:val="%1、"/>
      <w:lvlJc w:val="left"/>
    </w:lvl>
  </w:abstractNum>
  <w:num w:numId="1">
    <w:abstractNumId w:val="15006264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paragraph" w:styleId="2">
    <w:name w:val="footer"/>
    <w:basedOn w:val="1"/>
    <w:qFormat/>
    <w:uiPriority w:val="99"/>
    <w:pPr>
      <w:tabs>
        <w:tab w:val="center" w:pos="4153"/>
        <w:tab w:val="right" w:pos="8306"/>
      </w:tabs>
      <w:snapToGrid w:val="0"/>
      <w:jc w:val="left"/>
    </w:pPr>
    <w:rPr>
      <w:rFonts w:ascii="Times New Roman" w:hAnsi="Times New Roman"/>
      <w:sz w:val="18"/>
      <w:szCs w:val="18"/>
    </w:rPr>
  </w:style>
  <w:style w:type="paragraph" w:styleId="3">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6">
    <w:name w:val="FollowedHyperlink"/>
    <w:basedOn w:val="5"/>
    <w:qFormat/>
    <w:uiPriority w:val="0"/>
    <w:rPr>
      <w:color w:val="333333"/>
      <w:u w:val="none"/>
    </w:rPr>
  </w:style>
  <w:style w:type="character" w:styleId="7">
    <w:name w:val="Hyperlink"/>
    <w:basedOn w:val="5"/>
    <w:qFormat/>
    <w:uiPriority w:val="0"/>
    <w:rPr>
      <w:color w:val="333333"/>
      <w:u w:val="none"/>
    </w:rPr>
  </w:style>
  <w:style w:type="paragraph" w:customStyle="1" w:styleId="8">
    <w:name w:val="p0"/>
    <w:basedOn w:val="1"/>
    <w:qFormat/>
    <w:uiPriority w:val="0"/>
    <w:pPr>
      <w:widowControl/>
    </w:pPr>
    <w:rPr>
      <w:kern w:val="0"/>
      <w:szCs w:val="21"/>
    </w:rPr>
  </w:style>
  <w:style w:type="paragraph" w:customStyle="1" w:styleId="9">
    <w:name w:val="List Paragraph"/>
    <w:basedOn w:val="1"/>
    <w:unhideWhenUsed/>
    <w:qFormat/>
    <w:uiPriority w:val="99"/>
    <w:pPr>
      <w:ind w:firstLine="420" w:firstLineChars="200"/>
    </w:pPr>
  </w:style>
  <w:style w:type="character" w:customStyle="1" w:styleId="10">
    <w:name w:val="页眉 Char Char"/>
    <w:basedOn w:val="5"/>
    <w:link w:val="3"/>
    <w:uiPriority w:val="99"/>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footer" Target="footer7.xml"/><Relationship Id="rId11" Type="http://schemas.openxmlformats.org/officeDocument/2006/relationships/footer" Target="footer8.xml"/><Relationship Id="rId12" Type="http://schemas.openxmlformats.org/officeDocument/2006/relationships/footer" Target="footer9.xml"/><Relationship Id="rId13" Type="http://schemas.openxmlformats.org/officeDocument/2006/relationships/footer" Target="footer10.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footer" Target="footer4.xml"/><Relationship Id="rId8" Type="http://schemas.openxmlformats.org/officeDocument/2006/relationships/footer" Target="footer5.xml"/><Relationship Id="rId9"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1736</Words>
  <Characters>9898</Characters>
  <Lines>82</Lines>
  <Paragraphs>23</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2018-10-30T01:43:00Z</dcterms:created>
  <dc:creator>PC</dc:creator>
  <cp:lastModifiedBy>方</cp:lastModifiedBy>
  <cp:lastPrinted>2018-11-22T02:33:00Z</cp:lastPrinted>
  <dcterms:modified xsi:type="dcterms:W3CDTF">2019-02-13T06:49:39Z</dcterms:modified>
  <dc:title>郑州市财政局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